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92D07" w14:textId="77777777" w:rsidR="00A87944" w:rsidRDefault="00A87944" w:rsidP="00A87944">
      <w:pPr>
        <w:jc w:val="center"/>
        <w:rPr>
          <w:rFonts w:ascii="Cambria" w:hAnsi="Cambria"/>
          <w:b/>
          <w:sz w:val="48"/>
          <w:szCs w:val="48"/>
        </w:rPr>
      </w:pPr>
      <w:bookmarkStart w:id="0" w:name="_GoBack"/>
      <w:bookmarkEnd w:id="0"/>
    </w:p>
    <w:p w14:paraId="5BC15975" w14:textId="77777777" w:rsidR="00A87944" w:rsidRDefault="00A87944" w:rsidP="00A87944">
      <w:pPr>
        <w:jc w:val="center"/>
        <w:rPr>
          <w:rFonts w:ascii="Cambria" w:hAnsi="Cambria"/>
          <w:b/>
          <w:sz w:val="48"/>
          <w:szCs w:val="48"/>
        </w:rPr>
      </w:pPr>
    </w:p>
    <w:p w14:paraId="2391B758" w14:textId="77777777" w:rsidR="00A87944" w:rsidRPr="00AC773B" w:rsidRDefault="002865EA" w:rsidP="00A87944">
      <w:pPr>
        <w:jc w:val="center"/>
        <w:rPr>
          <w:rFonts w:ascii="Arial" w:hAnsi="Arial" w:cs="Arial"/>
          <w:b/>
          <w:sz w:val="48"/>
          <w:szCs w:val="48"/>
        </w:rPr>
      </w:pPr>
      <w:r w:rsidRPr="00AC773B">
        <w:rPr>
          <w:rFonts w:ascii="Arial" w:hAnsi="Arial" w:cs="Arial"/>
          <w:b/>
          <w:sz w:val="48"/>
          <w:szCs w:val="48"/>
        </w:rPr>
        <w:t>IT-</w:t>
      </w:r>
      <w:r>
        <w:rPr>
          <w:rFonts w:ascii="Arial" w:hAnsi="Arial" w:cs="Arial"/>
          <w:b/>
          <w:sz w:val="48"/>
          <w:szCs w:val="48"/>
        </w:rPr>
        <w:t>Afdelingen</w:t>
      </w:r>
    </w:p>
    <w:p w14:paraId="28337CA4" w14:textId="77777777" w:rsidR="00A87944" w:rsidRPr="00AC773B" w:rsidRDefault="00A87944" w:rsidP="00A87944">
      <w:pPr>
        <w:jc w:val="center"/>
        <w:rPr>
          <w:rFonts w:ascii="Arial" w:hAnsi="Arial" w:cs="Arial"/>
          <w:b/>
          <w:sz w:val="48"/>
          <w:szCs w:val="48"/>
        </w:rPr>
      </w:pPr>
    </w:p>
    <w:p w14:paraId="5A4178F7" w14:textId="77777777" w:rsidR="00A87944" w:rsidRPr="00AC773B" w:rsidRDefault="00A87944" w:rsidP="00A87944">
      <w:pPr>
        <w:jc w:val="center"/>
        <w:rPr>
          <w:rFonts w:ascii="Arial" w:hAnsi="Arial" w:cs="Arial"/>
          <w:sz w:val="96"/>
          <w:szCs w:val="96"/>
        </w:rPr>
      </w:pPr>
      <w:r w:rsidRPr="00AC773B">
        <w:rPr>
          <w:rFonts w:ascii="Arial" w:hAnsi="Arial" w:cs="Arial"/>
          <w:sz w:val="96"/>
          <w:szCs w:val="96"/>
        </w:rPr>
        <w:t>Ydelseskatalog</w:t>
      </w:r>
    </w:p>
    <w:p w14:paraId="1CCA9052" w14:textId="77777777" w:rsidR="00FB74C9" w:rsidRDefault="00FB74C9" w:rsidP="00FB74C9">
      <w:pPr>
        <w:rPr>
          <w:szCs w:val="19"/>
        </w:rPr>
        <w:sectPr w:rsidR="00FB74C9" w:rsidSect="001106DC">
          <w:headerReference w:type="default" r:id="rId8"/>
          <w:footerReference w:type="default" r:id="rId9"/>
          <w:pgSz w:w="11906" w:h="16838" w:code="9"/>
          <w:pgMar w:top="2268" w:right="1134" w:bottom="357" w:left="1134" w:header="709" w:footer="425" w:gutter="0"/>
          <w:cols w:space="708"/>
          <w:titlePg/>
          <w:docGrid w:linePitch="360"/>
        </w:sectPr>
      </w:pPr>
    </w:p>
    <w:p w14:paraId="220F658B" w14:textId="77777777" w:rsidR="001106DC" w:rsidRPr="0039713C" w:rsidRDefault="001106DC" w:rsidP="001106DC">
      <w:pPr>
        <w:pStyle w:val="Overskrift1"/>
      </w:pPr>
      <w:bookmarkStart w:id="1" w:name="_Toc229371763"/>
      <w:r w:rsidRPr="0039713C">
        <w:lastRenderedPageBreak/>
        <w:t>Indledning</w:t>
      </w:r>
      <w:bookmarkEnd w:id="1"/>
    </w:p>
    <w:p w14:paraId="43B75179" w14:textId="77777777" w:rsidR="001106DC" w:rsidRDefault="001106DC" w:rsidP="001106DC">
      <w:r>
        <w:t>Dette dokument indeholder en oversigt over de yde</w:t>
      </w:r>
      <w:r w:rsidR="00D9717A">
        <w:t>lser, der leveres af IT afdelingen</w:t>
      </w:r>
      <w:r>
        <w:t xml:space="preserve"> samt rammer for supporten.</w:t>
      </w:r>
    </w:p>
    <w:p w14:paraId="6ABD6FD6" w14:textId="77777777" w:rsidR="001106DC" w:rsidRDefault="00892A88" w:rsidP="001106DC">
      <w:r>
        <w:t>IT</w:t>
      </w:r>
      <w:r w:rsidR="00C67D3B">
        <w:t xml:space="preserve"> </w:t>
      </w:r>
      <w:r w:rsidR="001106DC">
        <w:t>installation</w:t>
      </w:r>
      <w:r>
        <w:t>en</w:t>
      </w:r>
      <w:r w:rsidR="00EC281E">
        <w:t xml:space="preserve"> </w:t>
      </w:r>
      <w:r w:rsidR="009434E3">
        <w:t>bliver løbende</w:t>
      </w:r>
      <w:r w:rsidR="001106DC">
        <w:t xml:space="preserve"> større, kompleksiteten øge</w:t>
      </w:r>
      <w:r w:rsidR="009434E3">
        <w:t>s</w:t>
      </w:r>
      <w:r w:rsidR="001106DC">
        <w:t xml:space="preserve"> og den geografiske udbredelse </w:t>
      </w:r>
      <w:r w:rsidR="009434E3">
        <w:t>øges jævnligt</w:t>
      </w:r>
      <w:r w:rsidR="001106DC">
        <w:t>.</w:t>
      </w:r>
    </w:p>
    <w:p w14:paraId="00785FA1" w14:textId="77777777" w:rsidR="001106DC" w:rsidRDefault="001106DC" w:rsidP="001106DC">
      <w:r>
        <w:t>Dette</w:t>
      </w:r>
      <w:r w:rsidR="009434E3">
        <w:t xml:space="preserve"> </w:t>
      </w:r>
      <w:r>
        <w:t xml:space="preserve"> øge</w:t>
      </w:r>
      <w:r w:rsidR="009434E3">
        <w:t>r</w:t>
      </w:r>
      <w:r>
        <w:t xml:space="preserve"> behovet for en bedre f</w:t>
      </w:r>
      <w:r w:rsidR="00D9717A">
        <w:t>orventningsafstemning mellem IT afdelingen</w:t>
      </w:r>
      <w:r>
        <w:t xml:space="preserve"> og brugerne.</w:t>
      </w:r>
    </w:p>
    <w:p w14:paraId="24F952C5" w14:textId="77777777" w:rsidR="001106DC" w:rsidRDefault="001106DC" w:rsidP="001106DC">
      <w:r>
        <w:t>Dette dokument skal ses som et led i bestræbelserne herpå.</w:t>
      </w:r>
    </w:p>
    <w:p w14:paraId="0BE91AA6" w14:textId="77777777" w:rsidR="001106DC" w:rsidRDefault="001106DC" w:rsidP="001106DC">
      <w:r>
        <w:t>Dokumentet in</w:t>
      </w:r>
      <w:r w:rsidR="00892A88">
        <w:t xml:space="preserve">deholder dels en række punkter </w:t>
      </w:r>
      <w:r>
        <w:t xml:space="preserve">der skal definere rammerne for supporten, dels en specifikation af, hvilke ydelser </w:t>
      </w:r>
      <w:r w:rsidR="00D9717A">
        <w:t xml:space="preserve">IT afdelingen </w:t>
      </w:r>
      <w:r>
        <w:t>leverer.</w:t>
      </w:r>
    </w:p>
    <w:p w14:paraId="08B0116F" w14:textId="77777777" w:rsidR="001106DC" w:rsidRDefault="001106DC" w:rsidP="001106DC">
      <w:r>
        <w:t xml:space="preserve">Rammesætningen og specifikationen skal ses som et led i </w:t>
      </w:r>
      <w:r w:rsidR="00D9717A">
        <w:t xml:space="preserve">IT afdelingens </w:t>
      </w:r>
      <w:r>
        <w:t xml:space="preserve">bestræbelser på at være en professionel, troværdig og seriøs samarbejdspartner for kommunens </w:t>
      </w:r>
      <w:r w:rsidR="00EC281E">
        <w:t xml:space="preserve">IT </w:t>
      </w:r>
      <w:r>
        <w:t>brugere.</w:t>
      </w:r>
    </w:p>
    <w:p w14:paraId="65999737" w14:textId="77777777" w:rsidR="001106DC" w:rsidRDefault="001106DC" w:rsidP="001106DC">
      <w:pPr>
        <w:pStyle w:val="Overskrift1"/>
      </w:pPr>
      <w:r>
        <w:br w:type="page"/>
      </w:r>
      <w:bookmarkStart w:id="2" w:name="_Toc229371764"/>
      <w:r>
        <w:lastRenderedPageBreak/>
        <w:t>Indhold</w:t>
      </w:r>
      <w:bookmarkEnd w:id="2"/>
    </w:p>
    <w:p w14:paraId="504B10E7" w14:textId="49E53554" w:rsidR="00FE7768" w:rsidRDefault="006A05D6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r>
        <w:fldChar w:fldCharType="begin"/>
      </w:r>
      <w:r w:rsidR="001106DC">
        <w:instrText xml:space="preserve"> TOC \o "1-3" \h \z \u </w:instrText>
      </w:r>
      <w:r>
        <w:fldChar w:fldCharType="separate"/>
      </w:r>
      <w:hyperlink w:anchor="_Toc229371763" w:history="1">
        <w:r w:rsidR="00FE7768" w:rsidRPr="009C42D8">
          <w:rPr>
            <w:rStyle w:val="Hyperlink"/>
            <w:noProof/>
          </w:rPr>
          <w:t>Indledning</w:t>
        </w:r>
        <w:r w:rsidR="00FE77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D45012" w14:textId="529DA279" w:rsidR="00FE7768" w:rsidRDefault="00D31DB9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64" w:history="1">
        <w:r w:rsidR="00FE7768" w:rsidRPr="009C42D8">
          <w:rPr>
            <w:rStyle w:val="Hyperlink"/>
            <w:noProof/>
          </w:rPr>
          <w:t>Indhold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_Toc229371764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3</w:t>
        </w:r>
        <w:r w:rsidR="006A05D6">
          <w:rPr>
            <w:noProof/>
            <w:webHidden/>
          </w:rPr>
          <w:fldChar w:fldCharType="end"/>
        </w:r>
      </w:hyperlink>
    </w:p>
    <w:p w14:paraId="6E10C0CA" w14:textId="2DB32643" w:rsidR="00FE7768" w:rsidRDefault="00D31DB9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65" w:history="1">
        <w:r w:rsidR="00FE7768" w:rsidRPr="009C42D8">
          <w:rPr>
            <w:rStyle w:val="Hyperlink"/>
            <w:noProof/>
          </w:rPr>
          <w:t>Support – rammer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_Toc229371765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4</w:t>
        </w:r>
        <w:r w:rsidR="006A05D6">
          <w:rPr>
            <w:noProof/>
            <w:webHidden/>
          </w:rPr>
          <w:fldChar w:fldCharType="end"/>
        </w:r>
      </w:hyperlink>
    </w:p>
    <w:p w14:paraId="13C10823" w14:textId="54DCB870" w:rsidR="00FE7768" w:rsidRDefault="00D31DB9">
      <w:pPr>
        <w:pStyle w:val="Indholdsfortegnelse2"/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66" w:history="1">
        <w:r w:rsidR="00FE7768" w:rsidRPr="009C42D8">
          <w:rPr>
            <w:rStyle w:val="Hyperlink"/>
            <w:noProof/>
          </w:rPr>
          <w:t>Indgang til IT afdelingen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_Toc229371766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4</w:t>
        </w:r>
        <w:r w:rsidR="006A05D6">
          <w:rPr>
            <w:noProof/>
            <w:webHidden/>
          </w:rPr>
          <w:fldChar w:fldCharType="end"/>
        </w:r>
      </w:hyperlink>
    </w:p>
    <w:p w14:paraId="6F61D8D7" w14:textId="2F7514FE" w:rsidR="00FE7768" w:rsidRDefault="00D31DB9">
      <w:pPr>
        <w:pStyle w:val="Indholdsfortegnelse2"/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67" w:history="1">
        <w:r w:rsidR="00FE7768" w:rsidRPr="009C42D8">
          <w:rPr>
            <w:rStyle w:val="Hyperlink"/>
            <w:noProof/>
          </w:rPr>
          <w:t>Supportniveauer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_Toc229371767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b/>
            <w:bCs/>
            <w:noProof/>
            <w:webHidden/>
          </w:rPr>
          <w:t>Fejl! Bogmærke er ikke defineret.</w:t>
        </w:r>
        <w:r w:rsidR="006A05D6">
          <w:rPr>
            <w:noProof/>
            <w:webHidden/>
          </w:rPr>
          <w:fldChar w:fldCharType="end"/>
        </w:r>
      </w:hyperlink>
    </w:p>
    <w:p w14:paraId="17C89DCE" w14:textId="2A92597C" w:rsidR="00FE7768" w:rsidRDefault="00D31DB9">
      <w:pPr>
        <w:pStyle w:val="Indholdsfortegnelse2"/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68" w:history="1">
        <w:r w:rsidR="00FE7768" w:rsidRPr="009C42D8">
          <w:rPr>
            <w:rStyle w:val="Hyperlink"/>
            <w:noProof/>
          </w:rPr>
          <w:t>Forudsætninger for support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_Toc229371768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5</w:t>
        </w:r>
        <w:r w:rsidR="006A05D6">
          <w:rPr>
            <w:noProof/>
            <w:webHidden/>
          </w:rPr>
          <w:fldChar w:fldCharType="end"/>
        </w:r>
      </w:hyperlink>
    </w:p>
    <w:p w14:paraId="065A9852" w14:textId="7C1B14B5" w:rsidR="00FE7768" w:rsidRDefault="00D31DB9" w:rsidP="00FE7768">
      <w:pPr>
        <w:pStyle w:val="Indholdsfortegnelse2"/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69" w:history="1">
        <w:r w:rsidR="00FE7768" w:rsidRPr="009C42D8">
          <w:rPr>
            <w:rStyle w:val="Hyperlink"/>
            <w:noProof/>
          </w:rPr>
          <w:t>Kommunikation om sagen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_Toc229371769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5</w:t>
        </w:r>
        <w:r w:rsidR="006A05D6">
          <w:rPr>
            <w:noProof/>
            <w:webHidden/>
          </w:rPr>
          <w:fldChar w:fldCharType="end"/>
        </w:r>
      </w:hyperlink>
    </w:p>
    <w:p w14:paraId="5C9222E8" w14:textId="47968910" w:rsidR="00FE7768" w:rsidRDefault="00D31DB9">
      <w:pPr>
        <w:pStyle w:val="Indholdsfortegnelse2"/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70" w:history="1">
        <w:r w:rsidR="00FE7768" w:rsidRPr="009C42D8">
          <w:rPr>
            <w:rStyle w:val="Hyperlink"/>
            <w:noProof/>
          </w:rPr>
          <w:t>Prioritering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_Toc229371770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5</w:t>
        </w:r>
        <w:r w:rsidR="006A05D6">
          <w:rPr>
            <w:noProof/>
            <w:webHidden/>
          </w:rPr>
          <w:fldChar w:fldCharType="end"/>
        </w:r>
      </w:hyperlink>
    </w:p>
    <w:p w14:paraId="6D52030F" w14:textId="41D372AD" w:rsidR="00FE7768" w:rsidRDefault="00D31DB9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71" w:history="1">
        <w:r w:rsidR="00FE7768" w:rsidRPr="009C42D8">
          <w:rPr>
            <w:rStyle w:val="Hyperlink"/>
            <w:noProof/>
          </w:rPr>
          <w:t>Specifikation vedrørende IT afdelingens serviceydelser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_Toc229371771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6</w:t>
        </w:r>
        <w:r w:rsidR="006A05D6">
          <w:rPr>
            <w:noProof/>
            <w:webHidden/>
          </w:rPr>
          <w:fldChar w:fldCharType="end"/>
        </w:r>
      </w:hyperlink>
    </w:p>
    <w:p w14:paraId="7E4C3C0C" w14:textId="134550CD" w:rsidR="00FE7768" w:rsidRDefault="00D31DB9">
      <w:pPr>
        <w:pStyle w:val="Indholdsfortegnelse2"/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72" w:history="1">
        <w:r w:rsidR="00FE7768" w:rsidRPr="009C42D8">
          <w:rPr>
            <w:rStyle w:val="Hyperlink"/>
            <w:noProof/>
          </w:rPr>
          <w:t>Servicedesk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_Toc229371772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6</w:t>
        </w:r>
        <w:r w:rsidR="006A05D6">
          <w:rPr>
            <w:noProof/>
            <w:webHidden/>
          </w:rPr>
          <w:fldChar w:fldCharType="end"/>
        </w:r>
      </w:hyperlink>
    </w:p>
    <w:p w14:paraId="4DA8A440" w14:textId="69776965" w:rsidR="00FE7768" w:rsidRDefault="00D31DB9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73" w:history="1">
        <w:r w:rsidR="00FE7768" w:rsidRPr="009C42D8">
          <w:rPr>
            <w:rStyle w:val="Hyperlink"/>
            <w:noProof/>
          </w:rPr>
          <w:t>IT Projekter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_Toc229371773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8</w:t>
        </w:r>
        <w:r w:rsidR="006A05D6">
          <w:rPr>
            <w:noProof/>
            <w:webHidden/>
          </w:rPr>
          <w:fldChar w:fldCharType="end"/>
        </w:r>
      </w:hyperlink>
    </w:p>
    <w:p w14:paraId="59B209E2" w14:textId="6DFF41C7" w:rsidR="00FE7768" w:rsidRDefault="00D31DB9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74" w:history="1">
        <w:r w:rsidR="00FE7768" w:rsidRPr="009C42D8">
          <w:rPr>
            <w:rStyle w:val="Hyperlink"/>
            <w:noProof/>
          </w:rPr>
          <w:t>Bilag1. Retningslinjer for IT anskaffelser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_Toc229371774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9</w:t>
        </w:r>
        <w:r w:rsidR="006A05D6">
          <w:rPr>
            <w:noProof/>
            <w:webHidden/>
          </w:rPr>
          <w:fldChar w:fldCharType="end"/>
        </w:r>
      </w:hyperlink>
    </w:p>
    <w:p w14:paraId="1E320CC1" w14:textId="218F4BED" w:rsidR="00FE7768" w:rsidRDefault="00D31DB9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da-DK"/>
        </w:rPr>
      </w:pPr>
      <w:hyperlink w:anchor="_Toc229371775" w:history="1">
        <w:r w:rsidR="00FE7768" w:rsidRPr="009C42D8">
          <w:rPr>
            <w:rStyle w:val="Hyperlink"/>
            <w:noProof/>
          </w:rPr>
          <w:t>Bilag 2. VIP Service</w:t>
        </w:r>
        <w:r w:rsidR="00FE7768">
          <w:rPr>
            <w:noProof/>
            <w:webHidden/>
          </w:rPr>
          <w:tab/>
        </w:r>
        <w:r w:rsidR="006A05D6">
          <w:rPr>
            <w:noProof/>
            <w:webHidden/>
          </w:rPr>
          <w:fldChar w:fldCharType="begin"/>
        </w:r>
        <w:r w:rsidR="00FE7768">
          <w:rPr>
            <w:noProof/>
            <w:webHidden/>
          </w:rPr>
          <w:instrText xml:space="preserve"> PAGEREF _Toc229371775 \h </w:instrText>
        </w:r>
        <w:r w:rsidR="006A05D6">
          <w:rPr>
            <w:noProof/>
            <w:webHidden/>
          </w:rPr>
        </w:r>
        <w:r w:rsidR="006A05D6">
          <w:rPr>
            <w:noProof/>
            <w:webHidden/>
          </w:rPr>
          <w:fldChar w:fldCharType="separate"/>
        </w:r>
        <w:r w:rsidR="00075D1B">
          <w:rPr>
            <w:noProof/>
            <w:webHidden/>
          </w:rPr>
          <w:t>10</w:t>
        </w:r>
        <w:r w:rsidR="006A05D6">
          <w:rPr>
            <w:noProof/>
            <w:webHidden/>
          </w:rPr>
          <w:fldChar w:fldCharType="end"/>
        </w:r>
      </w:hyperlink>
    </w:p>
    <w:p w14:paraId="011FFFF0" w14:textId="77777777" w:rsidR="001106DC" w:rsidRDefault="006A05D6" w:rsidP="001106DC">
      <w:pPr>
        <w:pStyle w:val="Overskrift1"/>
      </w:pPr>
      <w:r>
        <w:fldChar w:fldCharType="end"/>
      </w:r>
      <w:r w:rsidR="001106DC">
        <w:br w:type="page"/>
      </w:r>
      <w:bookmarkStart w:id="3" w:name="_Toc229371765"/>
      <w:r w:rsidR="001106DC" w:rsidRPr="0095507A">
        <w:lastRenderedPageBreak/>
        <w:t>Support rammer</w:t>
      </w:r>
      <w:bookmarkEnd w:id="3"/>
    </w:p>
    <w:p w14:paraId="43AA5A07" w14:textId="77777777" w:rsidR="001106DC" w:rsidRPr="00FE7768" w:rsidRDefault="001106DC" w:rsidP="001106DC">
      <w:pPr>
        <w:pStyle w:val="Overskrift2"/>
        <w:rPr>
          <w:sz w:val="28"/>
          <w:szCs w:val="28"/>
        </w:rPr>
      </w:pPr>
      <w:bookmarkStart w:id="4" w:name="_Toc229371766"/>
      <w:r w:rsidRPr="00FE7768">
        <w:rPr>
          <w:sz w:val="28"/>
          <w:szCs w:val="28"/>
        </w:rPr>
        <w:t xml:space="preserve">Indgang til </w:t>
      </w:r>
      <w:r w:rsidR="00D9717A" w:rsidRPr="00FE7768">
        <w:rPr>
          <w:sz w:val="28"/>
          <w:szCs w:val="28"/>
        </w:rPr>
        <w:t>IT afdelingen</w:t>
      </w:r>
      <w:bookmarkEnd w:id="4"/>
    </w:p>
    <w:p w14:paraId="794C8F17" w14:textId="1FDBE8A0" w:rsidR="005613C9" w:rsidRPr="00F63CEE" w:rsidRDefault="00045F8A" w:rsidP="005613C9">
      <w:pPr>
        <w:spacing w:after="0" w:line="240" w:lineRule="auto"/>
        <w:rPr>
          <w:rFonts w:asciiTheme="minorHAnsi" w:hAnsiTheme="minorHAnsi"/>
          <w:lang w:eastAsia="da-DK"/>
        </w:rPr>
      </w:pPr>
      <w:r>
        <w:rPr>
          <w:rFonts w:asciiTheme="minorHAnsi" w:hAnsiTheme="minorHAnsi"/>
          <w:lang w:eastAsia="da-DK"/>
        </w:rPr>
        <w:t xml:space="preserve">IT afdelingen befinder sig på Rådhuset, Torvet 1, 1. sal. Her finder du </w:t>
      </w:r>
      <w:r w:rsidR="005613C9" w:rsidRPr="00F63CEE">
        <w:rPr>
          <w:rFonts w:asciiTheme="minorHAnsi" w:hAnsiTheme="minorHAnsi"/>
          <w:lang w:eastAsia="da-DK"/>
        </w:rPr>
        <w:t xml:space="preserve">IT-afdelingens </w:t>
      </w:r>
      <w:r w:rsidR="004572A8">
        <w:rPr>
          <w:rFonts w:asciiTheme="minorHAnsi" w:hAnsiTheme="minorHAnsi"/>
          <w:lang w:eastAsia="da-DK"/>
        </w:rPr>
        <w:t>Servicedesk</w:t>
      </w:r>
      <w:r>
        <w:rPr>
          <w:rFonts w:asciiTheme="minorHAnsi" w:hAnsiTheme="minorHAnsi"/>
          <w:lang w:eastAsia="da-DK"/>
        </w:rPr>
        <w:t xml:space="preserve">, som </w:t>
      </w:r>
      <w:r w:rsidR="005613C9" w:rsidRPr="00F63CEE">
        <w:rPr>
          <w:rFonts w:asciiTheme="minorHAnsi" w:hAnsiTheme="minorHAnsi"/>
          <w:lang w:eastAsia="da-DK"/>
        </w:rPr>
        <w:t xml:space="preserve">er indgangsvinkel til </w:t>
      </w:r>
      <w:r>
        <w:rPr>
          <w:rFonts w:asciiTheme="minorHAnsi" w:hAnsiTheme="minorHAnsi"/>
          <w:lang w:eastAsia="da-DK"/>
        </w:rPr>
        <w:t xml:space="preserve">al </w:t>
      </w:r>
      <w:r w:rsidR="005613C9" w:rsidRPr="00F63CEE">
        <w:rPr>
          <w:rFonts w:asciiTheme="minorHAnsi" w:hAnsiTheme="minorHAnsi"/>
          <w:lang w:eastAsia="da-DK"/>
        </w:rPr>
        <w:t>IT-hjælp.</w:t>
      </w:r>
      <w:r w:rsidR="009C4118">
        <w:rPr>
          <w:rFonts w:asciiTheme="minorHAnsi" w:hAnsiTheme="minorHAnsi"/>
          <w:lang w:eastAsia="da-DK"/>
        </w:rPr>
        <w:br/>
      </w:r>
    </w:p>
    <w:p w14:paraId="52330DAA" w14:textId="203014C5" w:rsidR="005613C9" w:rsidRPr="00506282" w:rsidRDefault="009C4118" w:rsidP="005613C9">
      <w:pPr>
        <w:spacing w:line="240" w:lineRule="auto"/>
        <w:rPr>
          <w:rFonts w:asciiTheme="minorHAnsi" w:hAnsiTheme="minorHAnsi"/>
          <w:lang w:eastAsia="da-DK"/>
        </w:rPr>
      </w:pPr>
      <w:r>
        <w:rPr>
          <w:rFonts w:asciiTheme="minorHAnsi" w:hAnsiTheme="minorHAnsi"/>
          <w:lang w:eastAsia="da-DK"/>
        </w:rPr>
        <w:t>Kontakt til IT afdelingen</w:t>
      </w:r>
      <w:r w:rsidR="00FE7768">
        <w:rPr>
          <w:rFonts w:asciiTheme="minorHAnsi" w:hAnsiTheme="minorHAnsi"/>
          <w:lang w:eastAsia="da-DK"/>
        </w:rPr>
        <w:t xml:space="preserve"> vedr. IT-problemer</w:t>
      </w:r>
      <w:r>
        <w:rPr>
          <w:rFonts w:asciiTheme="minorHAnsi" w:hAnsiTheme="minorHAnsi"/>
          <w:lang w:eastAsia="da-DK"/>
        </w:rPr>
        <w:t>, spørgsmål, bestilling af varer osv. kan ske enten ved telefonisk kontakt til afdelingen på (6333) 7070</w:t>
      </w:r>
      <w:r w:rsidR="00FF0322">
        <w:rPr>
          <w:rFonts w:asciiTheme="minorHAnsi" w:hAnsiTheme="minorHAnsi"/>
          <w:lang w:eastAsia="da-DK"/>
        </w:rPr>
        <w:t>,</w:t>
      </w:r>
      <w:r>
        <w:rPr>
          <w:rFonts w:asciiTheme="minorHAnsi" w:hAnsiTheme="minorHAnsi"/>
          <w:lang w:eastAsia="da-DK"/>
        </w:rPr>
        <w:t xml:space="preserve"> ved</w:t>
      </w:r>
      <w:r w:rsidR="00FE7768" w:rsidRPr="00F63CEE">
        <w:rPr>
          <w:rFonts w:asciiTheme="minorHAnsi" w:hAnsiTheme="minorHAnsi"/>
          <w:lang w:eastAsia="da-DK"/>
        </w:rPr>
        <w:t xml:space="preserve"> oprette</w:t>
      </w:r>
      <w:r w:rsidR="00AF198F">
        <w:rPr>
          <w:rFonts w:asciiTheme="minorHAnsi" w:hAnsiTheme="minorHAnsi"/>
          <w:lang w:eastAsia="da-DK"/>
        </w:rPr>
        <w:t>lse af</w:t>
      </w:r>
      <w:r w:rsidR="00FE7768" w:rsidRPr="00F63CEE">
        <w:rPr>
          <w:rFonts w:asciiTheme="minorHAnsi" w:hAnsiTheme="minorHAnsi"/>
          <w:lang w:eastAsia="da-DK"/>
        </w:rPr>
        <w:t xml:space="preserve"> en sag i </w:t>
      </w:r>
      <w:r w:rsidR="00506282">
        <w:rPr>
          <w:rFonts w:asciiTheme="minorHAnsi" w:hAnsiTheme="minorHAnsi" w:cs="Arial"/>
        </w:rPr>
        <w:t>Servicedesk</w:t>
      </w:r>
      <w:r w:rsidR="00506282">
        <w:rPr>
          <w:rFonts w:asciiTheme="minorHAnsi" w:hAnsiTheme="minorHAnsi"/>
          <w:lang w:eastAsia="da-DK"/>
        </w:rPr>
        <w:t xml:space="preserve"> </w:t>
      </w:r>
      <w:r w:rsidR="00FE7768" w:rsidRPr="00F63CEE">
        <w:rPr>
          <w:rFonts w:asciiTheme="minorHAnsi" w:hAnsiTheme="minorHAnsi"/>
          <w:lang w:eastAsia="da-DK"/>
        </w:rPr>
        <w:t xml:space="preserve">programmet </w:t>
      </w:r>
      <w:r w:rsidR="00506282">
        <w:rPr>
          <w:rFonts w:asciiTheme="minorHAnsi" w:hAnsiTheme="minorHAnsi"/>
          <w:lang w:eastAsia="da-DK"/>
        </w:rPr>
        <w:t>TOPdesk</w:t>
      </w:r>
      <w:r w:rsidR="009030AE" w:rsidRPr="00506282">
        <w:rPr>
          <w:rFonts w:asciiTheme="minorHAnsi" w:hAnsiTheme="minorHAnsi"/>
          <w:lang w:eastAsia="da-DK"/>
        </w:rPr>
        <w:t xml:space="preserve"> </w:t>
      </w:r>
      <w:r w:rsidR="00FF0322" w:rsidRPr="00506282">
        <w:rPr>
          <w:rFonts w:asciiTheme="minorHAnsi" w:hAnsiTheme="minorHAnsi"/>
          <w:lang w:eastAsia="da-DK"/>
        </w:rPr>
        <w:t>eller</w:t>
      </w:r>
      <w:r w:rsidR="009030AE" w:rsidRPr="00506282">
        <w:rPr>
          <w:rFonts w:asciiTheme="minorHAnsi" w:hAnsiTheme="minorHAnsi"/>
          <w:lang w:eastAsia="da-DK"/>
        </w:rPr>
        <w:t xml:space="preserve"> ved personligt fremmøde</w:t>
      </w:r>
    </w:p>
    <w:p w14:paraId="0BA01584" w14:textId="7C4D702D" w:rsidR="009C4118" w:rsidRDefault="009C4118" w:rsidP="005613C9">
      <w:pPr>
        <w:spacing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Ved telefonisk kontakt vil </w:t>
      </w:r>
      <w:r w:rsidR="004572A8">
        <w:rPr>
          <w:rFonts w:asciiTheme="minorHAnsi" w:hAnsiTheme="minorHAnsi" w:cs="Arial"/>
        </w:rPr>
        <w:t>Servicedesk</w:t>
      </w:r>
      <w:r>
        <w:rPr>
          <w:rFonts w:asciiTheme="minorHAnsi" w:hAnsiTheme="minorHAnsi" w:cs="Arial"/>
        </w:rPr>
        <w:t xml:space="preserve"> oprette en </w:t>
      </w:r>
      <w:r w:rsidR="00ED2E01">
        <w:rPr>
          <w:rFonts w:asciiTheme="minorHAnsi" w:hAnsiTheme="minorHAnsi"/>
          <w:lang w:eastAsia="da-DK"/>
        </w:rPr>
        <w:t>TOPdesk</w:t>
      </w:r>
      <w:r>
        <w:rPr>
          <w:rFonts w:asciiTheme="minorHAnsi" w:hAnsiTheme="minorHAnsi" w:cs="Arial"/>
        </w:rPr>
        <w:t xml:space="preserve"> sag og som udgangspunkt forsøge at løse bruger</w:t>
      </w:r>
      <w:r w:rsidR="004572A8">
        <w:rPr>
          <w:rFonts w:asciiTheme="minorHAnsi" w:hAnsiTheme="minorHAnsi" w:cs="Arial"/>
        </w:rPr>
        <w:t>ens problem/opgave med det samme.</w:t>
      </w:r>
      <w:r w:rsidR="00AB40A6">
        <w:rPr>
          <w:rFonts w:asciiTheme="minorHAnsi" w:hAnsiTheme="minorHAnsi" w:cs="Arial"/>
        </w:rPr>
        <w:t xml:space="preserve"> Brugeren som kontakter Servicedesk vil altid blive påført sagen som kontaktpe</w:t>
      </w:r>
      <w:r w:rsidR="00FF0322">
        <w:rPr>
          <w:rFonts w:asciiTheme="minorHAnsi" w:hAnsiTheme="minorHAnsi" w:cs="Arial"/>
        </w:rPr>
        <w:t>r</w:t>
      </w:r>
      <w:r w:rsidR="00AB40A6">
        <w:rPr>
          <w:rFonts w:asciiTheme="minorHAnsi" w:hAnsiTheme="minorHAnsi" w:cs="Arial"/>
        </w:rPr>
        <w:t>son</w:t>
      </w:r>
      <w:r w:rsidR="00AB40A6" w:rsidRPr="00310A4D">
        <w:rPr>
          <w:rFonts w:asciiTheme="minorHAnsi" w:hAnsiTheme="minorHAnsi" w:cs="Arial"/>
        </w:rPr>
        <w:t xml:space="preserve">. </w:t>
      </w:r>
      <w:r w:rsidR="004572A8" w:rsidRPr="00310A4D">
        <w:rPr>
          <w:rFonts w:asciiTheme="minorHAnsi" w:hAnsiTheme="minorHAnsi" w:cs="Arial"/>
        </w:rPr>
        <w:t xml:space="preserve"> I </w:t>
      </w:r>
      <w:r w:rsidR="00310A4D" w:rsidRPr="00310A4D">
        <w:rPr>
          <w:rFonts w:asciiTheme="minorHAnsi" w:hAnsiTheme="minorHAnsi" w:cs="Arial"/>
        </w:rPr>
        <w:t>d</w:t>
      </w:r>
      <w:r w:rsidR="00310A4D">
        <w:rPr>
          <w:rFonts w:asciiTheme="minorHAnsi" w:hAnsiTheme="minorHAnsi" w:cs="Arial"/>
        </w:rPr>
        <w:t>e tilfælde hvor sagen ikke kan løses umiddelbart, vil det være nødvendigt at markere opgaven for senere løsning.</w:t>
      </w:r>
    </w:p>
    <w:p w14:paraId="17662BDE" w14:textId="4062651B" w:rsidR="005613C9" w:rsidRPr="00F63CEE" w:rsidRDefault="004572A8" w:rsidP="005613C9">
      <w:pPr>
        <w:spacing w:line="240" w:lineRule="auto"/>
        <w:rPr>
          <w:rFonts w:asciiTheme="minorHAnsi" w:hAnsiTheme="minorHAnsi" w:cs="Arial"/>
        </w:rPr>
      </w:pPr>
      <w:r w:rsidRPr="00045F8A">
        <w:rPr>
          <w:rFonts w:asciiTheme="minorHAnsi" w:hAnsiTheme="minorHAnsi" w:cs="Arial"/>
          <w:u w:val="single"/>
        </w:rPr>
        <w:t xml:space="preserve">For sager som </w:t>
      </w:r>
      <w:r w:rsidR="00AB40A6" w:rsidRPr="00045F8A">
        <w:rPr>
          <w:rFonts w:asciiTheme="minorHAnsi" w:hAnsiTheme="minorHAnsi" w:cs="Arial"/>
          <w:u w:val="single"/>
        </w:rPr>
        <w:t>ikke kan løses umiddelbart</w:t>
      </w:r>
      <w:r w:rsidRPr="00045F8A">
        <w:rPr>
          <w:rFonts w:asciiTheme="minorHAnsi" w:hAnsiTheme="minorHAnsi" w:cs="Arial"/>
          <w:u w:val="single"/>
        </w:rPr>
        <w:t xml:space="preserve"> gælder, at disse vil blive prioriteret i henhold til retningslinjerne i dette ydelseskatalog, og dermed prioriteres på samme niveau som ved henvendelse via </w:t>
      </w:r>
      <w:r w:rsidR="00ED2E01" w:rsidRPr="00ED2E01">
        <w:rPr>
          <w:rFonts w:asciiTheme="minorHAnsi" w:hAnsiTheme="minorHAnsi"/>
          <w:u w:val="single"/>
          <w:lang w:eastAsia="da-DK"/>
        </w:rPr>
        <w:t>TOPdesk</w:t>
      </w:r>
      <w:r>
        <w:rPr>
          <w:rFonts w:asciiTheme="minorHAnsi" w:hAnsiTheme="minorHAnsi" w:cs="Arial"/>
        </w:rPr>
        <w:t>.</w:t>
      </w:r>
    </w:p>
    <w:p w14:paraId="45AD9EFE" w14:textId="32EA3E8E" w:rsidR="005613C9" w:rsidRDefault="005613C9" w:rsidP="005613C9">
      <w:pPr>
        <w:spacing w:line="240" w:lineRule="auto"/>
        <w:rPr>
          <w:rFonts w:asciiTheme="minorHAnsi" w:hAnsiTheme="minorHAnsi" w:cs="Arial"/>
        </w:rPr>
      </w:pPr>
      <w:r w:rsidRPr="00F63CEE">
        <w:rPr>
          <w:rFonts w:asciiTheme="minorHAnsi" w:hAnsiTheme="minorHAnsi"/>
          <w:lang w:eastAsia="da-DK"/>
        </w:rPr>
        <w:t>Servicedesk prioriterer og fordeler opgaver til øvrige medarbejdere i IT-afdelingen, der varetager den videre opgaveløsning.</w:t>
      </w:r>
    </w:p>
    <w:p w14:paraId="30B94AB8" w14:textId="77777777" w:rsidR="005613C9" w:rsidRPr="00F63CEE" w:rsidRDefault="005613C9" w:rsidP="005613C9">
      <w:pPr>
        <w:spacing w:line="240" w:lineRule="auto"/>
        <w:rPr>
          <w:rFonts w:asciiTheme="minorHAnsi" w:hAnsiTheme="minorHAnsi" w:cs="Arial"/>
          <w:u w:val="single"/>
        </w:rPr>
      </w:pPr>
      <w:r w:rsidRPr="00F63CEE">
        <w:rPr>
          <w:rFonts w:asciiTheme="minorHAnsi" w:hAnsiTheme="minorHAnsi" w:cs="Arial"/>
          <w:u w:val="single"/>
        </w:rPr>
        <w:t xml:space="preserve">Info om </w:t>
      </w:r>
      <w:r w:rsidR="00941A0B" w:rsidRPr="00F63CEE">
        <w:rPr>
          <w:rFonts w:asciiTheme="minorHAnsi" w:hAnsiTheme="minorHAnsi" w:cs="Arial"/>
          <w:u w:val="single"/>
        </w:rPr>
        <w:t>driftsforstyr</w:t>
      </w:r>
      <w:r w:rsidR="00941A0B">
        <w:rPr>
          <w:rFonts w:asciiTheme="minorHAnsi" w:hAnsiTheme="minorHAnsi" w:cs="Arial"/>
          <w:u w:val="single"/>
        </w:rPr>
        <w:t>r</w:t>
      </w:r>
      <w:r w:rsidR="00941A0B" w:rsidRPr="00F63CEE">
        <w:rPr>
          <w:rFonts w:asciiTheme="minorHAnsi" w:hAnsiTheme="minorHAnsi" w:cs="Arial"/>
          <w:u w:val="single"/>
        </w:rPr>
        <w:t>elser</w:t>
      </w:r>
      <w:r w:rsidRPr="00F63CEE">
        <w:rPr>
          <w:rFonts w:asciiTheme="minorHAnsi" w:hAnsiTheme="minorHAnsi" w:cs="Arial"/>
          <w:u w:val="single"/>
        </w:rPr>
        <w:t>.</w:t>
      </w:r>
    </w:p>
    <w:p w14:paraId="4F744385" w14:textId="2F3CDD8F" w:rsidR="005613C9" w:rsidRPr="00F63CEE" w:rsidRDefault="00ED2E01" w:rsidP="005613C9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/>
          <w:lang w:eastAsia="da-DK"/>
        </w:rPr>
        <w:t>TOPdesks</w:t>
      </w:r>
      <w:r w:rsidRPr="00F63CEE">
        <w:rPr>
          <w:rFonts w:asciiTheme="minorHAnsi" w:hAnsiTheme="minorHAnsi" w:cs="Arial"/>
        </w:rPr>
        <w:t xml:space="preserve"> </w:t>
      </w:r>
      <w:r w:rsidR="005613C9" w:rsidRPr="00F63CEE">
        <w:rPr>
          <w:rFonts w:asciiTheme="minorHAnsi" w:hAnsiTheme="minorHAnsi" w:cs="Arial"/>
        </w:rPr>
        <w:t xml:space="preserve">forside informerer om generelle kendte </w:t>
      </w:r>
      <w:r w:rsidR="00FE7768" w:rsidRPr="00F63CEE">
        <w:rPr>
          <w:rFonts w:asciiTheme="minorHAnsi" w:hAnsiTheme="minorHAnsi" w:cs="Arial"/>
        </w:rPr>
        <w:t>IT-driftsforstyr</w:t>
      </w:r>
      <w:r w:rsidR="00FE7768">
        <w:rPr>
          <w:rFonts w:asciiTheme="minorHAnsi" w:hAnsiTheme="minorHAnsi" w:cs="Arial"/>
        </w:rPr>
        <w:t>r</w:t>
      </w:r>
      <w:r w:rsidR="00FE7768" w:rsidRPr="00F63CEE">
        <w:rPr>
          <w:rFonts w:asciiTheme="minorHAnsi" w:hAnsiTheme="minorHAnsi" w:cs="Arial"/>
        </w:rPr>
        <w:t>elser</w:t>
      </w:r>
      <w:r w:rsidR="004572A8">
        <w:rPr>
          <w:rFonts w:asciiTheme="minorHAnsi" w:hAnsiTheme="minorHAnsi" w:cs="Arial"/>
        </w:rPr>
        <w:t>.</w:t>
      </w:r>
    </w:p>
    <w:p w14:paraId="3A4F1484" w14:textId="66CD0F29" w:rsidR="005613C9" w:rsidRDefault="004572A8" w:rsidP="005613C9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Herudover kan brugerne tilmelde sig en SMS service som informerer om større og generelle driftsproblemer. </w:t>
      </w:r>
    </w:p>
    <w:p w14:paraId="10D41EA9" w14:textId="77777777" w:rsidR="00ED2E01" w:rsidRPr="00ED2E01" w:rsidRDefault="00ED2E01" w:rsidP="00ED2E0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da-DK"/>
        </w:rPr>
      </w:pPr>
      <w:r w:rsidRPr="00ED2E01">
        <w:rPr>
          <w:rFonts w:asciiTheme="minorHAnsi" w:eastAsia="Times New Roman" w:hAnsiTheme="minorHAnsi" w:cstheme="minorHAnsi"/>
          <w:lang w:eastAsia="da-DK"/>
        </w:rPr>
        <w:t xml:space="preserve">Du tilmelder dig servicen ved at sende en sms med beskeden </w:t>
      </w:r>
      <w:r w:rsidRPr="00ED2E01">
        <w:rPr>
          <w:rFonts w:asciiTheme="minorHAnsi" w:eastAsia="Times New Roman" w:hAnsiTheme="minorHAnsi" w:cstheme="minorHAnsi"/>
          <w:b/>
          <w:bCs/>
          <w:lang w:eastAsia="da-DK"/>
        </w:rPr>
        <w:t>NIT ANSAT TILMELD til 1910</w:t>
      </w:r>
    </w:p>
    <w:p w14:paraId="34A8E621" w14:textId="77777777" w:rsidR="00ED2E01" w:rsidRPr="00ED2E01" w:rsidRDefault="00ED2E01" w:rsidP="00ED2E0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da-DK"/>
        </w:rPr>
      </w:pPr>
      <w:r w:rsidRPr="00ED2E01">
        <w:rPr>
          <w:rFonts w:asciiTheme="minorHAnsi" w:eastAsia="Times New Roman" w:hAnsiTheme="minorHAnsi" w:cstheme="minorHAnsi"/>
          <w:lang w:eastAsia="da-DK"/>
        </w:rPr>
        <w:t xml:space="preserve">Du afmelder dig igen ved at sende en sms med beskeden </w:t>
      </w:r>
      <w:r w:rsidRPr="00ED2E01">
        <w:rPr>
          <w:rFonts w:asciiTheme="minorHAnsi" w:eastAsia="Times New Roman" w:hAnsiTheme="minorHAnsi" w:cstheme="minorHAnsi"/>
          <w:b/>
          <w:bCs/>
          <w:lang w:eastAsia="da-DK"/>
        </w:rPr>
        <w:t>NIT ANSAT AFMELD til 1910</w:t>
      </w:r>
    </w:p>
    <w:p w14:paraId="63CB915A" w14:textId="77777777" w:rsidR="00ED2E01" w:rsidRDefault="00ED2E01" w:rsidP="005613C9">
      <w:pPr>
        <w:spacing w:after="0" w:line="240" w:lineRule="auto"/>
        <w:rPr>
          <w:rFonts w:asciiTheme="minorHAnsi" w:hAnsiTheme="minorHAnsi" w:cs="Arial"/>
        </w:rPr>
      </w:pPr>
    </w:p>
    <w:p w14:paraId="06D2E592" w14:textId="77777777" w:rsidR="0029489F" w:rsidRDefault="0029489F" w:rsidP="005613C9">
      <w:pPr>
        <w:spacing w:after="0" w:line="240" w:lineRule="auto"/>
        <w:rPr>
          <w:rFonts w:asciiTheme="minorHAnsi" w:hAnsiTheme="minorHAnsi" w:cs="Arial"/>
        </w:rPr>
      </w:pPr>
    </w:p>
    <w:p w14:paraId="63BDCECE" w14:textId="77777777" w:rsidR="005613C9" w:rsidRPr="00F63CEE" w:rsidRDefault="005613C9" w:rsidP="005613C9">
      <w:pPr>
        <w:spacing w:after="0" w:line="240" w:lineRule="auto"/>
        <w:rPr>
          <w:rFonts w:asciiTheme="minorHAnsi" w:hAnsiTheme="minorHAnsi" w:cs="Arial"/>
        </w:rPr>
      </w:pPr>
    </w:p>
    <w:p w14:paraId="03B39A98" w14:textId="77777777" w:rsidR="005613C9" w:rsidRPr="00F63CEE" w:rsidRDefault="00AB40A6" w:rsidP="0056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IT afdelingens adresse og </w:t>
      </w:r>
      <w:r w:rsidR="005613C9" w:rsidRPr="00F63CEE">
        <w:rPr>
          <w:rFonts w:asciiTheme="minorHAnsi" w:hAnsiTheme="minorHAnsi"/>
          <w:u w:val="single"/>
        </w:rPr>
        <w:t>åbningstider er:</w:t>
      </w:r>
    </w:p>
    <w:p w14:paraId="1C3E5FF6" w14:textId="77777777" w:rsidR="00AB40A6" w:rsidRDefault="00AB40A6" w:rsidP="0056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Rådhuset, Torvet 1, 1. sal.</w:t>
      </w:r>
    </w:p>
    <w:p w14:paraId="1FF41053" w14:textId="77777777" w:rsidR="005613C9" w:rsidRPr="00F63CEE" w:rsidRDefault="005613C9" w:rsidP="0056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Mandag -</w:t>
      </w:r>
      <w:r w:rsidRPr="00F63CEE">
        <w:rPr>
          <w:rFonts w:asciiTheme="minorHAnsi" w:hAnsiTheme="minorHAnsi"/>
        </w:rPr>
        <w:t xml:space="preserve"> onsdag</w:t>
      </w:r>
      <w:r w:rsidRPr="00F63CEE">
        <w:rPr>
          <w:rFonts w:asciiTheme="minorHAnsi" w:hAnsiTheme="minorHAnsi"/>
        </w:rPr>
        <w:tab/>
      </w:r>
      <w:r w:rsidR="00747261">
        <w:rPr>
          <w:rFonts w:asciiTheme="minorHAnsi" w:hAnsiTheme="minorHAnsi"/>
          <w:b/>
        </w:rPr>
        <w:t>kl. 07.30 – 15.30</w:t>
      </w:r>
    </w:p>
    <w:p w14:paraId="7122FD37" w14:textId="77777777" w:rsidR="005613C9" w:rsidRPr="00F63CEE" w:rsidRDefault="005613C9" w:rsidP="0056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F63CEE">
        <w:rPr>
          <w:rFonts w:asciiTheme="minorHAnsi" w:hAnsiTheme="minorHAnsi"/>
          <w:bCs/>
        </w:rPr>
        <w:t>Torsdag</w:t>
      </w:r>
      <w:r w:rsidRPr="00F63CEE">
        <w:rPr>
          <w:rFonts w:asciiTheme="minorHAnsi" w:hAnsiTheme="minorHAnsi"/>
          <w:bCs/>
        </w:rPr>
        <w:tab/>
      </w:r>
      <w:r w:rsidRPr="00F63CEE">
        <w:rPr>
          <w:rFonts w:asciiTheme="minorHAnsi" w:hAnsiTheme="minorHAnsi"/>
          <w:bCs/>
        </w:rPr>
        <w:tab/>
      </w:r>
      <w:r w:rsidR="00747261">
        <w:rPr>
          <w:rFonts w:asciiTheme="minorHAnsi" w:hAnsiTheme="minorHAnsi"/>
          <w:b/>
        </w:rPr>
        <w:t>kl. 07.30 – 17.00</w:t>
      </w:r>
    </w:p>
    <w:p w14:paraId="6659289B" w14:textId="77777777" w:rsidR="005613C9" w:rsidRPr="00F63CEE" w:rsidRDefault="005613C9" w:rsidP="00561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  <w:r w:rsidRPr="00F63CEE">
        <w:rPr>
          <w:rFonts w:asciiTheme="minorHAnsi" w:hAnsiTheme="minorHAnsi"/>
        </w:rPr>
        <w:t xml:space="preserve">Fredag </w:t>
      </w:r>
      <w:r w:rsidRPr="00F63CEE">
        <w:rPr>
          <w:rFonts w:asciiTheme="minorHAnsi" w:hAnsiTheme="minorHAnsi"/>
        </w:rPr>
        <w:tab/>
      </w:r>
      <w:r w:rsidRPr="00F63CEE">
        <w:rPr>
          <w:rFonts w:asciiTheme="minorHAnsi" w:hAnsiTheme="minorHAnsi"/>
        </w:rPr>
        <w:tab/>
      </w:r>
      <w:r w:rsidRPr="00F63CEE">
        <w:rPr>
          <w:rFonts w:asciiTheme="minorHAnsi" w:hAnsiTheme="minorHAnsi"/>
          <w:b/>
        </w:rPr>
        <w:t>kl. 07</w:t>
      </w:r>
      <w:r w:rsidR="00747261">
        <w:rPr>
          <w:rFonts w:asciiTheme="minorHAnsi" w:hAnsiTheme="minorHAnsi"/>
          <w:b/>
          <w:bCs/>
        </w:rPr>
        <w:t>.30 – 13.30</w:t>
      </w:r>
    </w:p>
    <w:p w14:paraId="0577A571" w14:textId="77777777" w:rsidR="00D54A51" w:rsidRDefault="00A87944" w:rsidP="001106DC">
      <w:pPr>
        <w:pStyle w:val="Overskrift3"/>
      </w:pPr>
      <w:r>
        <w:br w:type="page"/>
      </w:r>
    </w:p>
    <w:p w14:paraId="5A129F70" w14:textId="77777777" w:rsidR="00D54A51" w:rsidRPr="00022D74" w:rsidRDefault="00D54A51" w:rsidP="00FE7768">
      <w:pPr>
        <w:pStyle w:val="Overskrift2"/>
      </w:pPr>
      <w:bookmarkStart w:id="5" w:name="_Toc229371768"/>
      <w:r w:rsidRPr="00022D74">
        <w:lastRenderedPageBreak/>
        <w:t>Forudsætninger for support</w:t>
      </w:r>
      <w:bookmarkEnd w:id="5"/>
    </w:p>
    <w:p w14:paraId="177B7F28" w14:textId="77777777" w:rsidR="00D54A51" w:rsidRDefault="00D54A51" w:rsidP="00D54A51">
      <w:pPr>
        <w:spacing w:after="0"/>
      </w:pPr>
      <w:r>
        <w:t>For at kunne yde en god service er der nogle forudsætninger, der skal være opfyldt:</w:t>
      </w:r>
    </w:p>
    <w:p w14:paraId="77C9D17B" w14:textId="48CB265D" w:rsidR="00D54A51" w:rsidRDefault="00D54A51" w:rsidP="00AF198F">
      <w:pPr>
        <w:numPr>
          <w:ilvl w:val="0"/>
          <w:numId w:val="32"/>
        </w:numPr>
        <w:spacing w:after="0"/>
      </w:pPr>
      <w:r>
        <w:t>Henvendelse til IT afdelingen skal altid ske til Servicedesk</w:t>
      </w:r>
      <w:r w:rsidR="0029489F">
        <w:t xml:space="preserve"> på </w:t>
      </w:r>
      <w:r w:rsidR="00ED0A98">
        <w:t>Tlf.</w:t>
      </w:r>
      <w:r w:rsidR="0029489F">
        <w:t xml:space="preserve">: </w:t>
      </w:r>
      <w:r w:rsidR="00AF198F">
        <w:t>(</w:t>
      </w:r>
      <w:r w:rsidR="0029489F">
        <w:t>6333</w:t>
      </w:r>
      <w:r w:rsidR="00AF198F">
        <w:t xml:space="preserve">) </w:t>
      </w:r>
      <w:r w:rsidR="0029489F">
        <w:t>7070</w:t>
      </w:r>
      <w:r w:rsidR="00AF198F">
        <w:t>, v</w:t>
      </w:r>
      <w:r w:rsidR="0029489F">
        <w:t xml:space="preserve">ia </w:t>
      </w:r>
      <w:r w:rsidR="00092943">
        <w:t>TOPdesk</w:t>
      </w:r>
      <w:r w:rsidR="00AF198F">
        <w:t xml:space="preserve"> eller via personligt fremmøde</w:t>
      </w:r>
      <w:r w:rsidR="0029489F">
        <w:t>.</w:t>
      </w:r>
    </w:p>
    <w:p w14:paraId="1476657B" w14:textId="1182726C" w:rsidR="00D54A51" w:rsidRPr="00AF198F" w:rsidRDefault="00AF198F" w:rsidP="00AF198F">
      <w:pPr>
        <w:pStyle w:val="Listeafsnit"/>
        <w:numPr>
          <w:ilvl w:val="0"/>
          <w:numId w:val="32"/>
        </w:numPr>
      </w:pPr>
      <w:r w:rsidRPr="00AF198F">
        <w:t xml:space="preserve">I forbindelse med løsning af sagen kan der være behov for at indhente yderligere oplysninger fra brugeren, hvilket vil ske via </w:t>
      </w:r>
      <w:r w:rsidR="00092943">
        <w:t>TOPdesk</w:t>
      </w:r>
      <w:r w:rsidRPr="00AF198F">
        <w:t>. Reagerer brugeren ikke på henvendelsen, vil sagen efter en periode blive lukket med besked til brugeren om hvorfor</w:t>
      </w:r>
    </w:p>
    <w:p w14:paraId="1D1FD4A9" w14:textId="77777777" w:rsidR="001106DC" w:rsidRDefault="00AF198F" w:rsidP="00FE7768">
      <w:pPr>
        <w:pStyle w:val="Overskrift2"/>
      </w:pPr>
      <w:bookmarkStart w:id="6" w:name="_Toc229371769"/>
      <w:r>
        <w:br/>
      </w:r>
      <w:r w:rsidR="001106DC" w:rsidRPr="00004877">
        <w:t xml:space="preserve">Kommunikation om </w:t>
      </w:r>
      <w:r w:rsidR="00BF1390">
        <w:t>sagen</w:t>
      </w:r>
      <w:bookmarkEnd w:id="6"/>
    </w:p>
    <w:p w14:paraId="692E1AFA" w14:textId="5B065BBA" w:rsidR="001106DC" w:rsidRPr="00C67D3B" w:rsidRDefault="00C604E7" w:rsidP="001106DC">
      <w:pPr>
        <w:spacing w:after="0"/>
      </w:pPr>
      <w:r>
        <w:t xml:space="preserve">I sager der ikke løses umiddelbart, og som videresendes </w:t>
      </w:r>
      <w:r w:rsidRPr="002D0FA5">
        <w:t>jfr. tidligere beskrevet</w:t>
      </w:r>
      <w:r>
        <w:t>, sker a</w:t>
      </w:r>
      <w:r w:rsidR="00BF1390" w:rsidRPr="00C67D3B">
        <w:t xml:space="preserve">l kommunikation vedr. den enkelte sag som udgangspunkt via </w:t>
      </w:r>
      <w:r w:rsidR="00092943">
        <w:t>TOPdesk</w:t>
      </w:r>
      <w:r w:rsidR="00BF1390" w:rsidRPr="00C67D3B">
        <w:t xml:space="preserve">. </w:t>
      </w:r>
      <w:r w:rsidR="001106DC" w:rsidRPr="00C67D3B">
        <w:t xml:space="preserve">Ved telefonisk </w:t>
      </w:r>
      <w:r w:rsidR="00560705" w:rsidRPr="00C67D3B">
        <w:t>elle</w:t>
      </w:r>
      <w:r w:rsidR="00BF1390" w:rsidRPr="00C67D3B">
        <w:t xml:space="preserve">r personlig henvendelse, </w:t>
      </w:r>
      <w:r>
        <w:t xml:space="preserve">noterer sagsbehandler i IT afdelingen </w:t>
      </w:r>
      <w:r w:rsidR="00E30113">
        <w:t>sagsskridt</w:t>
      </w:r>
      <w:r>
        <w:t xml:space="preserve"> i </w:t>
      </w:r>
      <w:r w:rsidR="00092943">
        <w:t>TOPdesk</w:t>
      </w:r>
      <w:r>
        <w:t xml:space="preserve"> sagen.</w:t>
      </w:r>
      <w:r w:rsidR="00BF1390" w:rsidRPr="00C67D3B">
        <w:t xml:space="preserve"> </w:t>
      </w:r>
      <w:r w:rsidR="00560705" w:rsidRPr="00C67D3B">
        <w:t>Sagen</w:t>
      </w:r>
      <w:r w:rsidR="001106DC" w:rsidRPr="00C67D3B">
        <w:t xml:space="preserve"> </w:t>
      </w:r>
      <w:r w:rsidR="00560705" w:rsidRPr="00C67D3B">
        <w:t>tildel</w:t>
      </w:r>
      <w:r w:rsidR="00BF1390" w:rsidRPr="00C67D3B">
        <w:t>es</w:t>
      </w:r>
      <w:r w:rsidR="00560705" w:rsidRPr="00C67D3B">
        <w:t xml:space="preserve"> </w:t>
      </w:r>
      <w:r w:rsidR="00BF1390" w:rsidRPr="00C67D3B">
        <w:t xml:space="preserve">automatisk </w:t>
      </w:r>
      <w:r w:rsidR="001106DC" w:rsidRPr="00C67D3B">
        <w:t>et sagsnummer</w:t>
      </w:r>
      <w:r w:rsidR="00BF1390" w:rsidRPr="00C67D3B">
        <w:t>. Ved telefonisk eller personlig henvendelse om sagen, skal sagsnummer eller eventuelt navn på personen der har oprettet sagen, altid oplyses.</w:t>
      </w:r>
    </w:p>
    <w:p w14:paraId="28CDE2E1" w14:textId="77777777" w:rsidR="001106DC" w:rsidRPr="00C67D3B" w:rsidRDefault="001106DC" w:rsidP="001106DC">
      <w:pPr>
        <w:spacing w:after="0"/>
      </w:pPr>
    </w:p>
    <w:p w14:paraId="7D85A774" w14:textId="77777777" w:rsidR="001106DC" w:rsidRDefault="00EB05B5" w:rsidP="001106DC">
      <w:pPr>
        <w:spacing w:after="0"/>
      </w:pPr>
      <w:r>
        <w:t>Sagsbehandler på sagen</w:t>
      </w:r>
      <w:r w:rsidR="001106DC" w:rsidRPr="00C67D3B">
        <w:t xml:space="preserve"> forestår kontakten til bruger i hver enkelt sag.</w:t>
      </w:r>
    </w:p>
    <w:p w14:paraId="0B76058E" w14:textId="77777777" w:rsidR="003B0036" w:rsidRDefault="003B0036" w:rsidP="001106DC">
      <w:pPr>
        <w:spacing w:after="0"/>
      </w:pPr>
    </w:p>
    <w:p w14:paraId="49BFC82A" w14:textId="77777777" w:rsidR="003B0036" w:rsidRDefault="008F7D94" w:rsidP="001106DC">
      <w:pPr>
        <w:spacing w:after="0"/>
      </w:pPr>
      <w:r>
        <w:t xml:space="preserve"> </w:t>
      </w:r>
    </w:p>
    <w:p w14:paraId="5D6EDA35" w14:textId="77777777" w:rsidR="001106DC" w:rsidRDefault="001106DC" w:rsidP="00FE7768">
      <w:pPr>
        <w:pStyle w:val="Overskrift2"/>
      </w:pPr>
      <w:bookmarkStart w:id="7" w:name="_Toc229371770"/>
      <w:r>
        <w:t>Prioritering</w:t>
      </w:r>
      <w:bookmarkEnd w:id="7"/>
    </w:p>
    <w:p w14:paraId="00B61320" w14:textId="77777777" w:rsidR="001106DC" w:rsidRDefault="001106DC" w:rsidP="001106DC">
      <w:pPr>
        <w:spacing w:after="0"/>
        <w:rPr>
          <w:lang w:eastAsia="da-DK"/>
        </w:rPr>
      </w:pPr>
      <w:r>
        <w:rPr>
          <w:lang w:eastAsia="da-DK"/>
        </w:rPr>
        <w:t>Når Servicedesk modtager en henvendelse</w:t>
      </w:r>
      <w:r w:rsidR="00D0310B">
        <w:rPr>
          <w:lang w:eastAsia="da-DK"/>
        </w:rPr>
        <w:t>,</w:t>
      </w:r>
      <w:r>
        <w:rPr>
          <w:lang w:eastAsia="da-DK"/>
        </w:rPr>
        <w:t xml:space="preserve"> vil den enkelte sag blive prioriteret.</w:t>
      </w:r>
    </w:p>
    <w:p w14:paraId="64086D5E" w14:textId="77777777" w:rsidR="001106DC" w:rsidRDefault="001106DC" w:rsidP="001106DC">
      <w:pPr>
        <w:spacing w:after="0"/>
        <w:rPr>
          <w:lang w:eastAsia="da-DK"/>
        </w:rPr>
      </w:pPr>
    </w:p>
    <w:p w14:paraId="32589893" w14:textId="77777777" w:rsidR="001106DC" w:rsidRDefault="001106DC" w:rsidP="001106DC">
      <w:pPr>
        <w:spacing w:after="0"/>
        <w:rPr>
          <w:lang w:eastAsia="da-DK"/>
        </w:rPr>
      </w:pPr>
      <w:r>
        <w:rPr>
          <w:lang w:eastAsia="da-DK"/>
        </w:rPr>
        <w:t>Den endelige prioritering vil ske ud</w:t>
      </w:r>
      <w:r w:rsidR="00D0310B">
        <w:rPr>
          <w:lang w:eastAsia="da-DK"/>
        </w:rPr>
        <w:t xml:space="preserve"> </w:t>
      </w:r>
      <w:r>
        <w:rPr>
          <w:lang w:eastAsia="da-DK"/>
        </w:rPr>
        <w:t>fra en vurdering af sagens betydning for den forretningsmæssige drift samt en vurdering af, hvor hurtigt sagen bør behandles.</w:t>
      </w:r>
    </w:p>
    <w:p w14:paraId="0BE21426" w14:textId="4D15B1F5" w:rsidR="001106DC" w:rsidRDefault="00EE48A0" w:rsidP="001106DC">
      <w:pPr>
        <w:spacing w:after="0"/>
        <w:rPr>
          <w:lang w:eastAsia="da-DK"/>
        </w:rPr>
      </w:pPr>
      <w:r>
        <w:rPr>
          <w:lang w:eastAsia="da-DK"/>
        </w:rPr>
        <w:t>Helt konkret bliver sagen prioriteret ud fra 1) hvor mange personer er ramt af problemet/opgaven, 2) muligheden for at kunne udføre sine opgaver. Herefter tildeler Topdesk automatisk opgaven ud fra nedenstående kriterier.</w:t>
      </w:r>
    </w:p>
    <w:p w14:paraId="578B03FD" w14:textId="77777777" w:rsidR="001106DC" w:rsidRDefault="001106DC" w:rsidP="001106DC">
      <w:pPr>
        <w:spacing w:after="0"/>
      </w:pPr>
    </w:p>
    <w:p w14:paraId="0B24DC1A" w14:textId="77777777" w:rsidR="001106DC" w:rsidRDefault="001106DC" w:rsidP="001106DC">
      <w:pPr>
        <w:spacing w:after="0"/>
      </w:pPr>
      <w:r>
        <w:t>Nedenstående eskaleringstider er gældende inden for it-afdelingens normale åbningstider.</w:t>
      </w:r>
    </w:p>
    <w:p w14:paraId="201C8719" w14:textId="77777777" w:rsidR="001106DC" w:rsidRDefault="001106DC" w:rsidP="001106DC">
      <w:pPr>
        <w:spacing w:after="0"/>
        <w:rPr>
          <w:i/>
        </w:rPr>
      </w:pPr>
    </w:p>
    <w:p w14:paraId="01777FA9" w14:textId="253AF17D" w:rsidR="001106DC" w:rsidRDefault="00292710" w:rsidP="001106DC">
      <w:pPr>
        <w:spacing w:after="0"/>
      </w:pPr>
      <w:r>
        <w:rPr>
          <w:noProof/>
          <w:lang w:eastAsia="da-DK"/>
        </w:rPr>
        <w:drawing>
          <wp:inline distT="0" distB="0" distL="0" distR="0" wp14:anchorId="38FA8196" wp14:editId="6213E46B">
            <wp:extent cx="6120130" cy="130048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2500" w14:textId="77777777" w:rsidR="001106DC" w:rsidRDefault="001106DC" w:rsidP="001106DC">
      <w:pPr>
        <w:spacing w:after="0"/>
      </w:pPr>
    </w:p>
    <w:p w14:paraId="7FA273A9" w14:textId="77777777" w:rsidR="00292710" w:rsidRDefault="00292710">
      <w:r>
        <w:br w:type="page"/>
      </w:r>
    </w:p>
    <w:tbl>
      <w:tblPr>
        <w:tblW w:w="9675" w:type="dxa"/>
        <w:tblInd w:w="5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9675"/>
      </w:tblGrid>
      <w:tr w:rsidR="001106DC" w:rsidRPr="007B6F9A" w14:paraId="0C3D59D0" w14:textId="77777777" w:rsidTr="00292710">
        <w:tc>
          <w:tcPr>
            <w:tcW w:w="9675" w:type="dxa"/>
            <w:tcBorders>
              <w:left w:val="nil"/>
              <w:bottom w:val="nil"/>
              <w:right w:val="nil"/>
            </w:tcBorders>
          </w:tcPr>
          <w:p w14:paraId="2C1E6D9A" w14:textId="2BA54DB2" w:rsidR="00292710" w:rsidRDefault="00292710" w:rsidP="00133960">
            <w:pPr>
              <w:spacing w:after="0"/>
              <w:rPr>
                <w:rFonts w:cs="Arial"/>
              </w:rPr>
            </w:pPr>
          </w:p>
          <w:p w14:paraId="28649D85" w14:textId="175ED1DA" w:rsidR="00133960" w:rsidRDefault="001106DC" w:rsidP="00952F96">
            <w:pPr>
              <w:rPr>
                <w:rFonts w:cs="Arial"/>
              </w:rPr>
            </w:pPr>
            <w:r>
              <w:rPr>
                <w:rFonts w:cs="Arial"/>
              </w:rPr>
              <w:t>Bemærk</w:t>
            </w:r>
            <w:r w:rsidR="00D0310B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at </w:t>
            </w:r>
            <w:r w:rsidR="00EC287B">
              <w:rPr>
                <w:rFonts w:cs="Arial"/>
              </w:rPr>
              <w:t xml:space="preserve">ovennævnte </w:t>
            </w:r>
            <w:r>
              <w:rPr>
                <w:rFonts w:cs="Arial"/>
              </w:rPr>
              <w:t>prioritering refererer til den tid</w:t>
            </w:r>
            <w:r w:rsidR="00D0310B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9777A9">
              <w:rPr>
                <w:rFonts w:cs="Arial"/>
                <w:u w:val="single"/>
              </w:rPr>
              <w:t xml:space="preserve">der </w:t>
            </w:r>
            <w:r w:rsidR="009777A9" w:rsidRPr="009777A9">
              <w:rPr>
                <w:rFonts w:cs="Arial"/>
                <w:u w:val="single"/>
              </w:rPr>
              <w:t xml:space="preserve">maximalt </w:t>
            </w:r>
            <w:r w:rsidRPr="009777A9">
              <w:rPr>
                <w:rFonts w:cs="Arial"/>
                <w:u w:val="single"/>
              </w:rPr>
              <w:t>forventes at gå</w:t>
            </w:r>
            <w:r>
              <w:rPr>
                <w:rFonts w:cs="Arial"/>
              </w:rPr>
              <w:t>, indtil en sag er løst.</w:t>
            </w:r>
            <w:r w:rsidR="009777A9">
              <w:rPr>
                <w:rFonts w:cs="Arial"/>
              </w:rPr>
              <w:t xml:space="preserve"> Normalt vil løsning af sagen ske hurtigere.</w:t>
            </w:r>
            <w:r w:rsidR="00E30113">
              <w:rPr>
                <w:rFonts w:cs="Arial"/>
              </w:rPr>
              <w:t xml:space="preserve"> Ved bestillingssager tages der forbehold for leverings</w:t>
            </w:r>
            <w:r w:rsidR="00D80413">
              <w:rPr>
                <w:rFonts w:cs="Arial"/>
              </w:rPr>
              <w:t>svigt og dermed eventuel manglende opfyldelse af SLA mål.</w:t>
            </w:r>
          </w:p>
          <w:p w14:paraId="36FBB307" w14:textId="77777777" w:rsidR="001106DC" w:rsidRDefault="003C6B3A" w:rsidP="003C6B3A">
            <w:pPr>
              <w:pStyle w:val="Overskrift2"/>
            </w:pPr>
            <w:r>
              <w:t>Levering af udstyr</w:t>
            </w:r>
          </w:p>
          <w:p w14:paraId="1AD051E1" w14:textId="77777777" w:rsidR="00F918CA" w:rsidRDefault="00133960" w:rsidP="00133960">
            <w:pPr>
              <w:rPr>
                <w:rFonts w:cs="Arial"/>
              </w:rPr>
            </w:pPr>
            <w:r>
              <w:rPr>
                <w:rFonts w:cs="Arial"/>
              </w:rPr>
              <w:t xml:space="preserve">Indlevering og afhentning af udstyr i IT afdelingen skal altid ske ved samtidig opgivelse af et </w:t>
            </w:r>
            <w:r w:rsidR="00F918CA">
              <w:t>TOPdesk</w:t>
            </w:r>
            <w:r>
              <w:rPr>
                <w:rFonts w:cs="Arial"/>
              </w:rPr>
              <w:t xml:space="preserve"> sagsnummer. Er der ingen sag oprettet, skal det</w:t>
            </w:r>
            <w:r w:rsidR="004A1F97">
              <w:rPr>
                <w:rFonts w:cs="Arial"/>
              </w:rPr>
              <w:t>te</w:t>
            </w:r>
            <w:r>
              <w:rPr>
                <w:rFonts w:cs="Arial"/>
              </w:rPr>
              <w:t xml:space="preserve"> ske umiddelbart. </w:t>
            </w:r>
            <w:r w:rsidR="004A1F97">
              <w:rPr>
                <w:rFonts w:cs="Arial"/>
              </w:rPr>
              <w:t xml:space="preserve">IT afdelingen har opsat en terminal til brug for dette. </w:t>
            </w:r>
            <w:r>
              <w:rPr>
                <w:rFonts w:cs="Arial"/>
              </w:rPr>
              <w:t>Brugeren kan selv oprette sagen, alternativt kan Servicedesk  gøre det.</w:t>
            </w:r>
          </w:p>
          <w:p w14:paraId="710FD537" w14:textId="168F843A" w:rsidR="004A1F97" w:rsidRDefault="00133960" w:rsidP="00133960">
            <w:pPr>
              <w:rPr>
                <w:rFonts w:cs="Arial"/>
              </w:rPr>
            </w:pPr>
            <w:r w:rsidRPr="00B049F2">
              <w:rPr>
                <w:rFonts w:cs="Arial"/>
                <w:b/>
                <w:bCs/>
              </w:rPr>
              <w:t xml:space="preserve"> Ved udskiftning af udstyr informerer IT afdelingen om gældende licens regler i tilfælde af ønske om fortsat tilslutning af gammelt udstyr.</w:t>
            </w:r>
          </w:p>
          <w:p w14:paraId="07739406" w14:textId="297AF27D" w:rsidR="001106DC" w:rsidRDefault="00133960" w:rsidP="00133960">
            <w:pPr>
              <w:rPr>
                <w:rFonts w:cs="Arial"/>
              </w:rPr>
            </w:pPr>
            <w:r>
              <w:rPr>
                <w:rFonts w:cs="Arial"/>
              </w:rPr>
              <w:t xml:space="preserve">For alt udstyr der er købt uden for konto 6 </w:t>
            </w:r>
            <w:r w:rsidR="00045F8A">
              <w:rPr>
                <w:rFonts w:cs="Arial"/>
              </w:rPr>
              <w:t xml:space="preserve">(administration) </w:t>
            </w:r>
            <w:r>
              <w:rPr>
                <w:rFonts w:cs="Arial"/>
              </w:rPr>
              <w:t>gælder, at udstyret ejes af den enkelte institution, og dermed kan beholdes</w:t>
            </w:r>
            <w:r w:rsidR="004A1F97">
              <w:rPr>
                <w:rFonts w:cs="Arial"/>
              </w:rPr>
              <w:t xml:space="preserve"> (dog skal gældende licens regler overholdes)</w:t>
            </w:r>
            <w:r>
              <w:rPr>
                <w:rFonts w:cs="Arial"/>
              </w:rPr>
              <w:t xml:space="preserve">. Det er ligeliges institutionens ansvar at bortskaffe eventuelt IT skrot, dog skal </w:t>
            </w:r>
            <w:r w:rsidR="00ED0A98">
              <w:rPr>
                <w:rFonts w:cs="Arial"/>
              </w:rPr>
              <w:t>pc’er</w:t>
            </w:r>
            <w:r>
              <w:rPr>
                <w:rFonts w:cs="Arial"/>
              </w:rPr>
              <w:t xml:space="preserve"> og andet </w:t>
            </w:r>
            <w:r w:rsidR="00045F8A">
              <w:rPr>
                <w:rFonts w:cs="Arial"/>
              </w:rPr>
              <w:t xml:space="preserve">databærende </w:t>
            </w:r>
            <w:r>
              <w:rPr>
                <w:rFonts w:cs="Arial"/>
              </w:rPr>
              <w:t>udstyr</w:t>
            </w:r>
            <w:r w:rsidR="00045F8A">
              <w:rPr>
                <w:rFonts w:cs="Arial"/>
              </w:rPr>
              <w:t xml:space="preserve"> altid </w:t>
            </w:r>
            <w:r>
              <w:rPr>
                <w:rFonts w:cs="Arial"/>
              </w:rPr>
              <w:t>afleveres i IT afdelingen for skrotning.</w:t>
            </w:r>
          </w:p>
          <w:p w14:paraId="7802532A" w14:textId="77777777" w:rsidR="004A1F97" w:rsidRPr="007B6F9A" w:rsidRDefault="004A1F97" w:rsidP="00133960">
            <w:pPr>
              <w:rPr>
                <w:rFonts w:cs="Arial"/>
              </w:rPr>
            </w:pPr>
            <w:r>
              <w:rPr>
                <w:rFonts w:cs="Arial"/>
              </w:rPr>
              <w:t>For alt udstyr der skiftes under konto 6 administrationen gælder, at udstyret som udgangspunkt udskiftes hvorfor gammelt udstyr fjernes. I særlige tilfælde og ved særlig behov kan gammelt udstyr eventuelt beholdes efter individuel aftale (gældende licens regler skal overholdes). Eventuelle udgifter forbundet hermed betales af den enkelte afdeling.</w:t>
            </w:r>
          </w:p>
        </w:tc>
      </w:tr>
    </w:tbl>
    <w:p w14:paraId="28AB353D" w14:textId="77777777" w:rsidR="001106DC" w:rsidRDefault="00C077F2" w:rsidP="00C077F2">
      <w:pPr>
        <w:pStyle w:val="Overskrift2"/>
      </w:pPr>
      <w:r>
        <w:t>Servicevindue</w:t>
      </w:r>
    </w:p>
    <w:p w14:paraId="4B26333C" w14:textId="7453C1A0" w:rsidR="00C077F2" w:rsidRPr="00C077F2" w:rsidRDefault="00C077F2" w:rsidP="00C077F2">
      <w:r>
        <w:t>IT afdelingen har service vindue hver tirsdag aften mellem kl. 20 og 24. Her vil der ske planlagte systemændringer og opdateringer. Brugerne må her forvente nedsat oppetid og periodevis nedlukkede systemer</w:t>
      </w:r>
      <w:r w:rsidR="003563C4">
        <w:t>. Ved længere planlagt nedetid som berører kritiske IT systemer, vil IT afdelingen udsende SMS til tilmeldte brugere.</w:t>
      </w:r>
    </w:p>
    <w:p w14:paraId="138868FB" w14:textId="77777777" w:rsidR="001106DC" w:rsidRDefault="001106DC" w:rsidP="001106DC">
      <w:pPr>
        <w:spacing w:after="0"/>
      </w:pPr>
    </w:p>
    <w:p w14:paraId="73301309" w14:textId="77777777" w:rsidR="001106DC" w:rsidRPr="009777A9" w:rsidRDefault="001106DC" w:rsidP="001106DC">
      <w:pPr>
        <w:pStyle w:val="Overskrift1"/>
        <w:rPr>
          <w:sz w:val="40"/>
          <w:szCs w:val="40"/>
        </w:rPr>
      </w:pPr>
      <w:bookmarkStart w:id="8" w:name="_Toc229371771"/>
      <w:r w:rsidRPr="009777A9">
        <w:rPr>
          <w:sz w:val="40"/>
          <w:szCs w:val="40"/>
        </w:rPr>
        <w:t xml:space="preserve">Specifikation vedrørende </w:t>
      </w:r>
      <w:r w:rsidR="00D9717A" w:rsidRPr="009777A9">
        <w:rPr>
          <w:sz w:val="40"/>
          <w:szCs w:val="40"/>
        </w:rPr>
        <w:t>IT afdelingen</w:t>
      </w:r>
      <w:r w:rsidR="00D0310B" w:rsidRPr="009777A9">
        <w:rPr>
          <w:sz w:val="40"/>
          <w:szCs w:val="40"/>
        </w:rPr>
        <w:t>s</w:t>
      </w:r>
      <w:r w:rsidRPr="009777A9">
        <w:rPr>
          <w:sz w:val="40"/>
          <w:szCs w:val="40"/>
        </w:rPr>
        <w:t xml:space="preserve"> serviceydelser</w:t>
      </w:r>
      <w:bookmarkEnd w:id="8"/>
    </w:p>
    <w:p w14:paraId="165746C5" w14:textId="77777777" w:rsidR="001106DC" w:rsidRPr="00F7213B" w:rsidRDefault="001106DC" w:rsidP="001106DC">
      <w:pPr>
        <w:pStyle w:val="Overskrift2"/>
      </w:pPr>
      <w:bookmarkStart w:id="9" w:name="_Toc229371772"/>
      <w:r w:rsidRPr="00F7213B">
        <w:t>Servicedesk</w:t>
      </w:r>
      <w:bookmarkEnd w:id="9"/>
    </w:p>
    <w:p w14:paraId="2D42A8D8" w14:textId="77777777" w:rsidR="001106DC" w:rsidRDefault="001106DC" w:rsidP="001106DC">
      <w:r>
        <w:t>Servicedesk leverer ydelser indenfor følgende hovedområder:</w:t>
      </w:r>
    </w:p>
    <w:p w14:paraId="71541F90" w14:textId="77777777" w:rsidR="001106DC" w:rsidRDefault="001106DC" w:rsidP="001106DC">
      <w:pPr>
        <w:numPr>
          <w:ilvl w:val="0"/>
          <w:numId w:val="12"/>
        </w:numPr>
      </w:pPr>
      <w:r>
        <w:t>Kontaktpunkt for alle henvendelser</w:t>
      </w:r>
    </w:p>
    <w:p w14:paraId="434BC0E3" w14:textId="77777777" w:rsidR="001106DC" w:rsidRDefault="001106DC" w:rsidP="001106DC">
      <w:pPr>
        <w:numPr>
          <w:ilvl w:val="0"/>
          <w:numId w:val="12"/>
        </w:numPr>
      </w:pPr>
      <w:r>
        <w:t>Informationer til brugere</w:t>
      </w:r>
      <w:r w:rsidR="008B4FA5">
        <w:t xml:space="preserve"> ved nedbrud og generelle fejl (mange brugere)</w:t>
      </w:r>
    </w:p>
    <w:p w14:paraId="4C339BC2" w14:textId="77777777" w:rsidR="001106DC" w:rsidRDefault="001106DC" w:rsidP="001106DC">
      <w:pPr>
        <w:numPr>
          <w:ilvl w:val="0"/>
          <w:numId w:val="12"/>
        </w:numPr>
      </w:pPr>
      <w:r>
        <w:t>Sagsbehandling ved fejl hændelser (</w:t>
      </w:r>
      <w:r w:rsidR="00D0310B">
        <w:t>Incidents</w:t>
      </w:r>
      <w:r>
        <w:t>)</w:t>
      </w:r>
    </w:p>
    <w:p w14:paraId="72EB2C67" w14:textId="77777777" w:rsidR="001106DC" w:rsidRDefault="001106DC" w:rsidP="001106DC">
      <w:pPr>
        <w:numPr>
          <w:ilvl w:val="0"/>
          <w:numId w:val="12"/>
        </w:numPr>
      </w:pPr>
      <w:r>
        <w:t>Sagsansvarlig for indmeldte hændelser(</w:t>
      </w:r>
      <w:r w:rsidR="00D0310B">
        <w:t>Incidents</w:t>
      </w:r>
      <w:r>
        <w:t>) og anmodning (</w:t>
      </w:r>
      <w:r w:rsidR="00D0310B">
        <w:t>Service Requests</w:t>
      </w:r>
      <w:r>
        <w:t>)</w:t>
      </w:r>
    </w:p>
    <w:p w14:paraId="43135DD5" w14:textId="77777777" w:rsidR="001106DC" w:rsidRDefault="001106DC" w:rsidP="001106DC">
      <w:pPr>
        <w:numPr>
          <w:ilvl w:val="0"/>
          <w:numId w:val="12"/>
        </w:numPr>
      </w:pPr>
      <w:r>
        <w:t>Brugeradministration</w:t>
      </w:r>
    </w:p>
    <w:p w14:paraId="59039C4E" w14:textId="2C91CC7A" w:rsidR="001106DC" w:rsidRDefault="00EE48A0" w:rsidP="001106DC">
      <w:pPr>
        <w:numPr>
          <w:ilvl w:val="0"/>
          <w:numId w:val="12"/>
        </w:numPr>
      </w:pPr>
      <w:r>
        <w:t>Indkøb, opsætning og udlevering/installation af g</w:t>
      </w:r>
      <w:r w:rsidR="001106DC">
        <w:t xml:space="preserve">odkendt </w:t>
      </w:r>
      <w:r w:rsidR="00D0310B">
        <w:t>arbejdspladsudstyr</w:t>
      </w:r>
    </w:p>
    <w:p w14:paraId="7A9033B3" w14:textId="50F53D81" w:rsidR="001106DC" w:rsidRDefault="00EE48A0" w:rsidP="001106DC">
      <w:pPr>
        <w:numPr>
          <w:ilvl w:val="0"/>
          <w:numId w:val="12"/>
        </w:numPr>
      </w:pPr>
      <w:r>
        <w:lastRenderedPageBreak/>
        <w:t xml:space="preserve">Indkøb, opsætning og udlevering/installation af </w:t>
      </w:r>
      <w:r w:rsidR="001106DC">
        <w:t>godkendte printere</w:t>
      </w:r>
    </w:p>
    <w:p w14:paraId="06AD5F72" w14:textId="77777777" w:rsidR="00EE48A0" w:rsidRDefault="00EE48A0" w:rsidP="00EE48A0">
      <w:pPr>
        <w:numPr>
          <w:ilvl w:val="0"/>
          <w:numId w:val="12"/>
        </w:numPr>
      </w:pPr>
      <w:r>
        <w:t>Indkøb, opsætning og udlevering/installation af g</w:t>
      </w:r>
      <w:r w:rsidR="00AF3353">
        <w:t>odkendte mobiltelefoner</w:t>
      </w:r>
      <w:r w:rsidR="0092057F">
        <w:t xml:space="preserve"> og </w:t>
      </w:r>
      <w:r w:rsidR="00F918CA">
        <w:t>tablet</w:t>
      </w:r>
    </w:p>
    <w:p w14:paraId="3B94FBA9" w14:textId="1070A97F" w:rsidR="001106DC" w:rsidRDefault="00EE48A0" w:rsidP="00EE48A0">
      <w:pPr>
        <w:numPr>
          <w:ilvl w:val="0"/>
          <w:numId w:val="12"/>
        </w:numPr>
      </w:pPr>
      <w:r>
        <w:t>Indkøb, opsætning og udlevering/installation af g</w:t>
      </w:r>
      <w:r w:rsidR="001106DC">
        <w:t xml:space="preserve">odkendt </w:t>
      </w:r>
      <w:r>
        <w:t>s</w:t>
      </w:r>
      <w:r w:rsidR="001106DC">
        <w:t>oftware</w:t>
      </w:r>
    </w:p>
    <w:p w14:paraId="5D874B26" w14:textId="77777777" w:rsidR="001106DC" w:rsidRDefault="001106DC" w:rsidP="001106DC"/>
    <w:p w14:paraId="2A5AD8F5" w14:textId="77777777" w:rsidR="008E474C" w:rsidRDefault="008E474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66AC874" w14:textId="4D232CFA" w:rsidR="007459E9" w:rsidRDefault="007459E9" w:rsidP="007459E9">
      <w:pPr>
        <w:pStyle w:val="Overskrift2"/>
      </w:pPr>
    </w:p>
    <w:p w14:paraId="299905C6" w14:textId="3688CBA8" w:rsidR="001106DC" w:rsidRPr="00145D90" w:rsidRDefault="00C3644A" w:rsidP="00FE7768">
      <w:pPr>
        <w:pStyle w:val="Overskrift1"/>
      </w:pPr>
      <w:bookmarkStart w:id="10" w:name="_Toc229371773"/>
      <w:r>
        <w:t xml:space="preserve">IT </w:t>
      </w:r>
      <w:r w:rsidR="00B049F2">
        <w:t>drift</w:t>
      </w:r>
      <w:r w:rsidR="00FF64BB">
        <w:t xml:space="preserve"> </w:t>
      </w:r>
      <w:r w:rsidR="00B049F2">
        <w:t>samt nye p</w:t>
      </w:r>
      <w:r w:rsidR="001106DC" w:rsidRPr="00145D90">
        <w:t>rojekt</w:t>
      </w:r>
      <w:r>
        <w:t>er</w:t>
      </w:r>
      <w:bookmarkEnd w:id="10"/>
      <w:r w:rsidR="00B049F2">
        <w:t>/IT løsninger</w:t>
      </w:r>
    </w:p>
    <w:p w14:paraId="6E7F4B87" w14:textId="2EA7196D" w:rsidR="001106DC" w:rsidRPr="006134C9" w:rsidRDefault="00C3644A" w:rsidP="001106DC">
      <w:pPr>
        <w:spacing w:before="100" w:beforeAutospacing="1" w:after="100" w:afterAutospacing="1" w:line="225" w:lineRule="atLeast"/>
        <w:rPr>
          <w:color w:val="000000"/>
        </w:rPr>
      </w:pPr>
      <w:r>
        <w:rPr>
          <w:color w:val="000000"/>
        </w:rPr>
        <w:t>IT projekter</w:t>
      </w:r>
      <w:r w:rsidR="00B049F2">
        <w:rPr>
          <w:color w:val="000000"/>
        </w:rPr>
        <w:t>/nye IT-løsninger</w:t>
      </w:r>
      <w:r>
        <w:rPr>
          <w:color w:val="000000"/>
        </w:rPr>
        <w:t xml:space="preserve"> skal</w:t>
      </w:r>
      <w:r w:rsidR="004C24BA">
        <w:rPr>
          <w:color w:val="000000"/>
        </w:rPr>
        <w:t>,</w:t>
      </w:r>
      <w:r>
        <w:rPr>
          <w:color w:val="000000"/>
        </w:rPr>
        <w:t xml:space="preserve"> </w:t>
      </w:r>
      <w:r w:rsidR="004C24BA">
        <w:rPr>
          <w:color w:val="000000"/>
        </w:rPr>
        <w:t xml:space="preserve">som udgangspunkt, </w:t>
      </w:r>
      <w:r>
        <w:rPr>
          <w:color w:val="000000"/>
        </w:rPr>
        <w:t>altid behandles i kommunens digitaliserings</w:t>
      </w:r>
      <w:r w:rsidR="00B049F2">
        <w:rPr>
          <w:color w:val="000000"/>
        </w:rPr>
        <w:t>gruppe</w:t>
      </w:r>
      <w:r>
        <w:rPr>
          <w:color w:val="000000"/>
        </w:rPr>
        <w:t xml:space="preserve">, herunder </w:t>
      </w:r>
      <w:r w:rsidR="00AC1B6B">
        <w:rPr>
          <w:color w:val="000000"/>
        </w:rPr>
        <w:t xml:space="preserve">eventuel </w:t>
      </w:r>
      <w:r>
        <w:rPr>
          <w:color w:val="000000"/>
        </w:rPr>
        <w:t xml:space="preserve">ansøgning om </w:t>
      </w:r>
      <w:r w:rsidR="00AC1B6B">
        <w:rPr>
          <w:color w:val="000000"/>
        </w:rPr>
        <w:t xml:space="preserve">økonomisk støtte til </w:t>
      </w:r>
      <w:r>
        <w:rPr>
          <w:color w:val="000000"/>
        </w:rPr>
        <w:t>køb af nye systemer, udsty</w:t>
      </w:r>
      <w:r w:rsidR="00956D4C">
        <w:rPr>
          <w:color w:val="000000"/>
        </w:rPr>
        <w:t xml:space="preserve">r m.m. </w:t>
      </w:r>
      <w:r w:rsidR="00AC1B6B">
        <w:rPr>
          <w:color w:val="000000"/>
        </w:rPr>
        <w:t xml:space="preserve">Afdelingen/institutionen udpeger forlods en systemejer som fremsender leverandørens system dokumentation til </w:t>
      </w:r>
      <w:r w:rsidR="00956D4C">
        <w:rPr>
          <w:color w:val="000000"/>
        </w:rPr>
        <w:t xml:space="preserve">IT </w:t>
      </w:r>
      <w:r w:rsidR="004C24BA">
        <w:rPr>
          <w:color w:val="000000"/>
        </w:rPr>
        <w:t>chefen på</w:t>
      </w:r>
      <w:r w:rsidR="00956D4C">
        <w:rPr>
          <w:color w:val="000000"/>
        </w:rPr>
        <w:t xml:space="preserve"> mail, </w:t>
      </w:r>
      <w:hyperlink r:id="rId12" w:history="1">
        <w:r w:rsidR="00956D4C" w:rsidRPr="004E6E8D">
          <w:rPr>
            <w:rStyle w:val="Hyperlink"/>
          </w:rPr>
          <w:t>hdy@nyborg.dk</w:t>
        </w:r>
      </w:hyperlink>
      <w:r w:rsidR="004C24BA">
        <w:rPr>
          <w:color w:val="000000"/>
        </w:rPr>
        <w:t>. IT chefen vil herefter vurdere om sagen skal behandles i digitaliseringsgruppen eller kan afgøres uden videre ved efterfølgende orientering af gruppen.</w:t>
      </w:r>
      <w:r w:rsidR="00B049F2">
        <w:rPr>
          <w:color w:val="000000"/>
        </w:rPr>
        <w:br/>
        <w:t>Projektejer skal i alle tilfælde fremsende et notat til Digitaliseringsgruppen med indstilling om køb, herunder redegørelse for økonomien.</w:t>
      </w:r>
      <w:r w:rsidR="004C24BA">
        <w:rPr>
          <w:color w:val="000000"/>
        </w:rPr>
        <w:br/>
      </w:r>
    </w:p>
    <w:p w14:paraId="248168A4" w14:textId="77777777" w:rsidR="001106DC" w:rsidRPr="006134C9" w:rsidRDefault="001F1FE2" w:rsidP="001106DC">
      <w:pPr>
        <w:spacing w:before="100" w:beforeAutospacing="1" w:after="100" w:afterAutospacing="1" w:line="225" w:lineRule="atLeast"/>
        <w:rPr>
          <w:color w:val="000000"/>
        </w:rPr>
      </w:pPr>
      <w:r>
        <w:rPr>
          <w:color w:val="000000"/>
        </w:rPr>
        <w:t>Efter eventuel godkendelse af projektet</w:t>
      </w:r>
      <w:r w:rsidR="004D21C4">
        <w:rPr>
          <w:color w:val="000000"/>
        </w:rPr>
        <w:t>/systemet</w:t>
      </w:r>
      <w:r>
        <w:rPr>
          <w:color w:val="000000"/>
        </w:rPr>
        <w:t xml:space="preserve"> , </w:t>
      </w:r>
      <w:r w:rsidR="001106DC" w:rsidRPr="006134C9">
        <w:rPr>
          <w:color w:val="000000"/>
        </w:rPr>
        <w:t xml:space="preserve">tilbyder </w:t>
      </w:r>
      <w:r w:rsidR="00956D4C">
        <w:rPr>
          <w:color w:val="000000"/>
        </w:rPr>
        <w:t>IT afdelingen</w:t>
      </w:r>
      <w:r>
        <w:rPr>
          <w:color w:val="000000"/>
        </w:rPr>
        <w:t xml:space="preserve"> </w:t>
      </w:r>
      <w:r w:rsidR="001106DC" w:rsidRPr="006134C9">
        <w:rPr>
          <w:color w:val="000000"/>
        </w:rPr>
        <w:t xml:space="preserve">projektstøtte i forbindelse </w:t>
      </w:r>
      <w:r w:rsidR="00FD7BDF">
        <w:rPr>
          <w:color w:val="000000"/>
        </w:rPr>
        <w:t xml:space="preserve">med </w:t>
      </w:r>
      <w:r w:rsidR="001106DC" w:rsidRPr="006134C9">
        <w:rPr>
          <w:color w:val="000000"/>
        </w:rPr>
        <w:t xml:space="preserve">anskaffelse, implementering, drift og udfasning. </w:t>
      </w:r>
    </w:p>
    <w:p w14:paraId="139812F4" w14:textId="77777777" w:rsidR="001106DC" w:rsidRPr="006134C9" w:rsidRDefault="00956D4C" w:rsidP="001106DC">
      <w:pPr>
        <w:spacing w:before="100" w:beforeAutospacing="1" w:after="100" w:afterAutospacing="1" w:line="225" w:lineRule="atLeast"/>
        <w:rPr>
          <w:color w:val="000000"/>
        </w:rPr>
      </w:pPr>
      <w:r>
        <w:rPr>
          <w:color w:val="000000"/>
        </w:rPr>
        <w:t>Mere konkret tilbydes</w:t>
      </w:r>
      <w:r w:rsidR="001106DC" w:rsidRPr="006134C9">
        <w:rPr>
          <w:color w:val="000000"/>
        </w:rPr>
        <w:t>:</w:t>
      </w:r>
    </w:p>
    <w:p w14:paraId="4C1BD708" w14:textId="77777777" w:rsidR="004C24BA" w:rsidRDefault="004C24BA" w:rsidP="004C24BA">
      <w:pPr>
        <w:pStyle w:val="Listeafsnit"/>
        <w:numPr>
          <w:ilvl w:val="0"/>
          <w:numId w:val="30"/>
        </w:numPr>
      </w:pPr>
      <w:r>
        <w:t>Inden beslutning om køb af system i digitaliseringsgruppen, fremsender kommende systemejer, eller anden udpeget person, leverandørens s</w:t>
      </w:r>
      <w:r w:rsidR="00181DD1">
        <w:t>ystemdokumentation til IT afdelingen</w:t>
      </w:r>
      <w:r w:rsidR="00FD7BDF">
        <w:t xml:space="preserve"> til videre behandling</w:t>
      </w:r>
      <w:r>
        <w:t>.</w:t>
      </w:r>
      <w:r w:rsidR="00FD7BDF">
        <w:br/>
      </w:r>
    </w:p>
    <w:p w14:paraId="6315372E" w14:textId="77777777" w:rsidR="004C24BA" w:rsidRPr="00FD7BDF" w:rsidRDefault="004C24BA" w:rsidP="004C24BA">
      <w:pPr>
        <w:pStyle w:val="Listeafsnit"/>
        <w:numPr>
          <w:ilvl w:val="0"/>
          <w:numId w:val="30"/>
        </w:numPr>
      </w:pPr>
      <w:r w:rsidRPr="00FD7BDF">
        <w:t xml:space="preserve">IT afdelingen vurderer </w:t>
      </w:r>
      <w:r w:rsidR="00FD7BDF">
        <w:t>projektet/</w:t>
      </w:r>
      <w:r w:rsidRPr="00FD7BDF">
        <w:t xml:space="preserve">systemet mhp. at få afdækket hvad installationen kræver, afledt økonomi til IT udstyr, forslag til installations tidsplan, allokering af </w:t>
      </w:r>
      <w:r w:rsidR="00FD7BDF">
        <w:t xml:space="preserve">IT afdelingens </w:t>
      </w:r>
      <w:r w:rsidRPr="00FD7BDF">
        <w:t>interne ressourcer osv.</w:t>
      </w:r>
      <w:r w:rsidR="002F1E79">
        <w:br/>
      </w:r>
    </w:p>
    <w:p w14:paraId="3FF2C16B" w14:textId="77777777" w:rsidR="004C24BA" w:rsidRDefault="004C24BA" w:rsidP="004C24BA">
      <w:pPr>
        <w:pStyle w:val="Listeafsnit"/>
        <w:numPr>
          <w:ilvl w:val="0"/>
          <w:numId w:val="30"/>
        </w:numPr>
      </w:pPr>
      <w:r>
        <w:t xml:space="preserve">IT afdelingen meddeler kommende systemejer beslutning ift. køb af systemet, alternativt at henvendelsen er videresendt til digitaliseringsgruppen til </w:t>
      </w:r>
      <w:r w:rsidR="00181DD1">
        <w:t xml:space="preserve">behandling og eventuel </w:t>
      </w:r>
      <w:r>
        <w:t>godkendelse.</w:t>
      </w:r>
      <w:r w:rsidR="00FD7BDF">
        <w:br/>
      </w:r>
    </w:p>
    <w:p w14:paraId="5EF2FA50" w14:textId="712EAAAF" w:rsidR="004C24BA" w:rsidRDefault="004C24BA" w:rsidP="004C24BA">
      <w:pPr>
        <w:pStyle w:val="Listeafsnit"/>
        <w:numPr>
          <w:ilvl w:val="0"/>
          <w:numId w:val="30"/>
        </w:numPr>
      </w:pPr>
      <w:r>
        <w:t xml:space="preserve">Når beslutning er taget omkring køb af systemet, </w:t>
      </w:r>
      <w:r w:rsidR="00860E56">
        <w:t xml:space="preserve">vil systemejer blive kontaktet indenfor 14 dage. Herefter </w:t>
      </w:r>
      <w:r>
        <w:t>opretter systemejer</w:t>
      </w:r>
      <w:r w:rsidR="00860E56">
        <w:t xml:space="preserve">, eller anden udpeget person, </w:t>
      </w:r>
      <w:r>
        <w:t xml:space="preserve">en </w:t>
      </w:r>
      <w:r w:rsidR="00506282">
        <w:t>TOP</w:t>
      </w:r>
      <w:r w:rsidR="00910AB6">
        <w:t>desk</w:t>
      </w:r>
      <w:r>
        <w:t xml:space="preserve"> sag med alle relevante informationer, herunder kontaktinformationer til leverandøren. Efterfølgende tildeles sagen til en medarbejder i </w:t>
      </w:r>
      <w:r w:rsidR="00B049F2">
        <w:t>IT-drift</w:t>
      </w:r>
      <w:r>
        <w:t xml:space="preserve">, som efterfølgende bliver IT afdelingens kontaktperson </w:t>
      </w:r>
      <w:r w:rsidR="002F1E79">
        <w:t>ift.</w:t>
      </w:r>
      <w:r>
        <w:t xml:space="preserve"> implementering. Leverandøren udpeger ligeledes en primær kontaktperson. Om nødvendigt planlægges et </w:t>
      </w:r>
      <w:r w:rsidR="00FD7BDF">
        <w:t xml:space="preserve">eller flere </w:t>
      </w:r>
      <w:r>
        <w:t>opstarts</w:t>
      </w:r>
      <w:r w:rsidR="00FD7BDF">
        <w:t xml:space="preserve"> og implementerings</w:t>
      </w:r>
      <w:r>
        <w:t>møde</w:t>
      </w:r>
      <w:r w:rsidR="00FD7BDF">
        <w:t>r</w:t>
      </w:r>
      <w:r>
        <w:t xml:space="preserve"> med leverandøren, IT afdelingen tager initiativ til dette.</w:t>
      </w:r>
      <w:r w:rsidR="00FD7BDF">
        <w:br/>
      </w:r>
    </w:p>
    <w:p w14:paraId="2A79C41A" w14:textId="0E63CF71" w:rsidR="004C24BA" w:rsidRDefault="004C24BA" w:rsidP="004C24BA">
      <w:pPr>
        <w:pStyle w:val="Listeafsnit"/>
        <w:numPr>
          <w:ilvl w:val="0"/>
          <w:numId w:val="30"/>
        </w:numPr>
      </w:pPr>
      <w:r>
        <w:t>Al teknisk korrespondance foregår herefter mellem IT afdelingen og leverandøren</w:t>
      </w:r>
      <w:r w:rsidR="00FD7BDF">
        <w:t>.</w:t>
      </w:r>
      <w:r>
        <w:t xml:space="preserve"> </w:t>
      </w:r>
      <w:r w:rsidR="00FD7BDF">
        <w:t xml:space="preserve">IT afdelingen sikrer at </w:t>
      </w:r>
      <w:r>
        <w:t>system ejer</w:t>
      </w:r>
      <w:r w:rsidR="00FD7BDF">
        <w:t xml:space="preserve"> løbende</w:t>
      </w:r>
      <w:r>
        <w:t xml:space="preserve"> informeres om sagen, som udgangspunkt via </w:t>
      </w:r>
      <w:r w:rsidR="00506282">
        <w:t>TOP</w:t>
      </w:r>
      <w:r w:rsidR="00910AB6">
        <w:t>desk</w:t>
      </w:r>
      <w:r>
        <w:t>, og har her igennem også mulighed for at stille spørgsmål, bidrage med yderligere information etc.</w:t>
      </w:r>
      <w:r w:rsidR="004E1547">
        <w:t xml:space="preserve"> Systemejer har ligeledes mulighed for at stille spørgsmål til projektets fremdrift.</w:t>
      </w:r>
      <w:r w:rsidR="004E1547">
        <w:br/>
      </w:r>
    </w:p>
    <w:p w14:paraId="1C64E8A6" w14:textId="09E230F9" w:rsidR="004C24BA" w:rsidRDefault="004C24BA" w:rsidP="004C24BA">
      <w:pPr>
        <w:pStyle w:val="Listeafsnit"/>
        <w:numPr>
          <w:ilvl w:val="0"/>
          <w:numId w:val="30"/>
        </w:numPr>
      </w:pPr>
      <w:r>
        <w:t>Hvis projektet afstedkommer afledte opgaver som eksempelvis</w:t>
      </w:r>
      <w:r w:rsidR="00FD7BDF">
        <w:t xml:space="preserve"> bestilling af perifert udstyr, underretter IT afdelingen </w:t>
      </w:r>
      <w:r>
        <w:t>systemejer</w:t>
      </w:r>
      <w:r w:rsidR="00FD7BDF">
        <w:t>, og beder denne om at oprette</w:t>
      </w:r>
      <w:r>
        <w:t xml:space="preserve"> særskilt </w:t>
      </w:r>
      <w:r w:rsidR="00506282">
        <w:t>TOP</w:t>
      </w:r>
      <w:r w:rsidR="00910AB6">
        <w:t>desk</w:t>
      </w:r>
      <w:r>
        <w:t xml:space="preserve"> sag</w:t>
      </w:r>
      <w:r w:rsidR="00FD7BDF">
        <w:t>, alternativt gør IT afdelingens kontaktpersonsagsbehandler det selv</w:t>
      </w:r>
      <w:r>
        <w:t>.</w:t>
      </w:r>
      <w:r w:rsidR="008B5DBC">
        <w:br/>
      </w:r>
    </w:p>
    <w:p w14:paraId="663DDB8E" w14:textId="77777777" w:rsidR="000D6B04" w:rsidRDefault="008B5DBC" w:rsidP="00251A70">
      <w:pPr>
        <w:pStyle w:val="Listeafsnit"/>
        <w:numPr>
          <w:ilvl w:val="0"/>
          <w:numId w:val="30"/>
        </w:numPr>
      </w:pPr>
      <w:r>
        <w:t xml:space="preserve">Hvis projektet </w:t>
      </w:r>
      <w:r w:rsidR="00460355">
        <w:t>fordrer</w:t>
      </w:r>
      <w:r>
        <w:t xml:space="preserve"> levering af servere, netværk, cabling og anden infrastruktur, leverer IT afdelingen priser og fornøden system dokumentation</w:t>
      </w:r>
      <w:r w:rsidR="00460355">
        <w:t>. Leveringstider afhænger af eksterne parter samt hvad der aftales ifm. projekt forløbet</w:t>
      </w:r>
      <w:r w:rsidR="00181DD1">
        <w:t>.</w:t>
      </w:r>
      <w:r w:rsidR="001106DC">
        <w:br w:type="page"/>
      </w:r>
    </w:p>
    <w:p w14:paraId="6E1CB9B7" w14:textId="77777777" w:rsidR="00203730" w:rsidRDefault="00203730" w:rsidP="001106DC"/>
    <w:p w14:paraId="5F0D873B" w14:textId="78B7C5D6" w:rsidR="007B0FAE" w:rsidRDefault="007B0FAE" w:rsidP="007B0FAE">
      <w:pPr>
        <w:pStyle w:val="Overskrift1"/>
      </w:pPr>
      <w:bookmarkStart w:id="11" w:name="_Toc229371774"/>
      <w:r w:rsidRPr="00D17CD3">
        <w:t>Bilag</w:t>
      </w:r>
      <w:r w:rsidR="007459E9">
        <w:t>1</w:t>
      </w:r>
      <w:r w:rsidRPr="00D17CD3">
        <w:t>.</w:t>
      </w:r>
      <w:r>
        <w:t xml:space="preserve"> </w:t>
      </w:r>
      <w:r w:rsidR="00380BAA">
        <w:t>Finansiering af</w:t>
      </w:r>
      <w:r>
        <w:t xml:space="preserve"> IT anskaffelser</w:t>
      </w:r>
      <w:bookmarkEnd w:id="11"/>
      <w:r w:rsidR="00380BAA">
        <w:t xml:space="preserve"> </w:t>
      </w:r>
    </w:p>
    <w:p w14:paraId="3A0CF502" w14:textId="77777777" w:rsidR="00486B7D" w:rsidRPr="00486B7D" w:rsidRDefault="00486B7D" w:rsidP="00486B7D"/>
    <w:p w14:paraId="05656E9E" w14:textId="26F3707C" w:rsidR="007B0FAE" w:rsidRPr="00A46E2C" w:rsidRDefault="007B0FAE" w:rsidP="00CA22DE">
      <w:pPr>
        <w:pStyle w:val="Listeafsnit"/>
        <w:numPr>
          <w:ilvl w:val="0"/>
          <w:numId w:val="33"/>
        </w:numPr>
        <w:tabs>
          <w:tab w:val="left" w:pos="5812"/>
          <w:tab w:val="left" w:pos="6096"/>
          <w:tab w:val="left" w:pos="6379"/>
          <w:tab w:val="left" w:pos="6521"/>
        </w:tabs>
        <w:jc w:val="both"/>
        <w:rPr>
          <w:rFonts w:asciiTheme="minorHAnsi" w:hAnsiTheme="minorHAnsi" w:cstheme="minorHAnsi"/>
        </w:rPr>
      </w:pPr>
      <w:r w:rsidRPr="00A46E2C">
        <w:rPr>
          <w:rFonts w:asciiTheme="minorHAnsi" w:hAnsiTheme="minorHAnsi" w:cstheme="minorHAnsi"/>
        </w:rPr>
        <w:t xml:space="preserve">Alle sager vedrørende indkøb af nye IT-systemer og anskaffelser af nyt IT-udstyr skal forlægges IT-afdelingen </w:t>
      </w:r>
      <w:r w:rsidR="00966EA1" w:rsidRPr="00A46E2C">
        <w:rPr>
          <w:rFonts w:asciiTheme="minorHAnsi" w:hAnsiTheme="minorHAnsi" w:cstheme="minorHAnsi"/>
        </w:rPr>
        <w:t xml:space="preserve">og godkendes </w:t>
      </w:r>
      <w:r w:rsidRPr="00A46E2C">
        <w:rPr>
          <w:rFonts w:asciiTheme="minorHAnsi" w:hAnsiTheme="minorHAnsi" w:cstheme="minorHAnsi"/>
        </w:rPr>
        <w:t>med henblik på afklaring af tekniske og økonomiske forhold inden igangsæt</w:t>
      </w:r>
      <w:r w:rsidR="00A46E2C" w:rsidRPr="00A46E2C">
        <w:rPr>
          <w:rFonts w:asciiTheme="minorHAnsi" w:hAnsiTheme="minorHAnsi" w:cstheme="minorHAnsi"/>
        </w:rPr>
        <w:t>ning.</w:t>
      </w:r>
      <w:r w:rsidR="00A46E2C">
        <w:rPr>
          <w:rFonts w:asciiTheme="minorHAnsi" w:hAnsiTheme="minorHAnsi" w:cstheme="minorHAnsi"/>
        </w:rPr>
        <w:br/>
      </w:r>
    </w:p>
    <w:p w14:paraId="43DE12C5" w14:textId="5BF4C50E" w:rsidR="00486B7D" w:rsidRPr="00A46E2C" w:rsidRDefault="00486B7D" w:rsidP="00486B7D">
      <w:pPr>
        <w:pStyle w:val="Listeafsnit"/>
        <w:numPr>
          <w:ilvl w:val="0"/>
          <w:numId w:val="33"/>
        </w:numPr>
        <w:tabs>
          <w:tab w:val="left" w:pos="5812"/>
          <w:tab w:val="left" w:pos="6096"/>
          <w:tab w:val="left" w:pos="6379"/>
          <w:tab w:val="left" w:pos="6521"/>
        </w:tabs>
        <w:jc w:val="both"/>
        <w:rPr>
          <w:rFonts w:asciiTheme="minorHAnsi" w:hAnsiTheme="minorHAnsi" w:cstheme="minorHAnsi"/>
        </w:rPr>
      </w:pPr>
      <w:r w:rsidRPr="00A46E2C">
        <w:rPr>
          <w:rFonts w:asciiTheme="minorHAnsi" w:hAnsiTheme="minorHAnsi" w:cstheme="minorHAnsi"/>
        </w:rPr>
        <w:t xml:space="preserve">Det centrale IT budget afholder alle udgifter til den fælles </w:t>
      </w:r>
      <w:r w:rsidR="00A46E2C">
        <w:rPr>
          <w:rFonts w:asciiTheme="minorHAnsi" w:hAnsiTheme="minorHAnsi" w:cstheme="minorHAnsi"/>
        </w:rPr>
        <w:t>basis-</w:t>
      </w:r>
      <w:r w:rsidRPr="00A46E2C">
        <w:rPr>
          <w:rFonts w:asciiTheme="minorHAnsi" w:hAnsiTheme="minorHAnsi" w:cstheme="minorHAnsi"/>
        </w:rPr>
        <w:t>infrastruktur og indkøb af standard fagsystemer (nødvendige basissystemer) herunder undervisning.</w:t>
      </w:r>
    </w:p>
    <w:p w14:paraId="3982E463" w14:textId="77777777" w:rsidR="00486B7D" w:rsidRPr="00A46E2C" w:rsidRDefault="00486B7D" w:rsidP="00486B7D">
      <w:pPr>
        <w:pStyle w:val="Listeafsnit"/>
        <w:rPr>
          <w:rFonts w:asciiTheme="minorHAnsi" w:hAnsiTheme="minorHAnsi" w:cstheme="minorHAnsi"/>
        </w:rPr>
      </w:pPr>
    </w:p>
    <w:p w14:paraId="6D9368BD" w14:textId="5A6388C7" w:rsidR="00486B7D" w:rsidRPr="00A46E2C" w:rsidRDefault="00486B7D" w:rsidP="00486B7D">
      <w:pPr>
        <w:pStyle w:val="Listeafsnit"/>
        <w:numPr>
          <w:ilvl w:val="0"/>
          <w:numId w:val="33"/>
        </w:numPr>
        <w:tabs>
          <w:tab w:val="left" w:pos="5812"/>
          <w:tab w:val="left" w:pos="6096"/>
          <w:tab w:val="left" w:pos="6379"/>
          <w:tab w:val="left" w:pos="6521"/>
        </w:tabs>
        <w:rPr>
          <w:rFonts w:asciiTheme="minorHAnsi" w:hAnsiTheme="minorHAnsi" w:cstheme="minorHAnsi"/>
        </w:rPr>
      </w:pPr>
      <w:r w:rsidRPr="00A46E2C">
        <w:rPr>
          <w:rFonts w:asciiTheme="minorHAnsi" w:hAnsiTheme="minorHAnsi" w:cstheme="minorHAnsi"/>
        </w:rPr>
        <w:t>Nye supplerende IT-løsninger og støttesystemer (valgfrie løsninger) finansieres som hidtil af de enkelte afdelinger, herunder ledelsesinformationssystemer og digitaliseringsprojekter (business case) samt nødvendig undervisning</w:t>
      </w:r>
      <w:r w:rsidRPr="00A46E2C">
        <w:rPr>
          <w:rFonts w:asciiTheme="minorHAnsi" w:hAnsiTheme="minorHAnsi" w:cstheme="minorHAnsi"/>
        </w:rPr>
        <w:br/>
      </w:r>
    </w:p>
    <w:p w14:paraId="2EFF805E" w14:textId="13814DD8" w:rsidR="007B0FAE" w:rsidRPr="00A46E2C" w:rsidRDefault="007B0FAE" w:rsidP="00A46E2C">
      <w:pPr>
        <w:pStyle w:val="Listeafsnit"/>
        <w:numPr>
          <w:ilvl w:val="0"/>
          <w:numId w:val="33"/>
        </w:numPr>
        <w:tabs>
          <w:tab w:val="left" w:pos="5812"/>
          <w:tab w:val="left" w:pos="6096"/>
          <w:tab w:val="left" w:pos="6379"/>
          <w:tab w:val="left" w:pos="6521"/>
        </w:tabs>
        <w:rPr>
          <w:rFonts w:asciiTheme="minorHAnsi" w:hAnsiTheme="minorHAnsi" w:cstheme="minorHAnsi"/>
        </w:rPr>
      </w:pPr>
      <w:r w:rsidRPr="00A46E2C">
        <w:rPr>
          <w:rFonts w:asciiTheme="minorHAnsi" w:hAnsiTheme="minorHAnsi" w:cstheme="minorHAnsi"/>
        </w:rPr>
        <w:t xml:space="preserve">Vedligeholdelse af nødvendig standard IT-arbejdsplads i administrationen (konto 6, hardware + software) til den enkelte medarbejder finansieres af </w:t>
      </w:r>
      <w:r w:rsidR="00A46E2C">
        <w:rPr>
          <w:rFonts w:asciiTheme="minorHAnsi" w:hAnsiTheme="minorHAnsi" w:cstheme="minorHAnsi"/>
        </w:rPr>
        <w:t xml:space="preserve">det centrale </w:t>
      </w:r>
      <w:r w:rsidRPr="00A46E2C">
        <w:rPr>
          <w:rFonts w:asciiTheme="minorHAnsi" w:hAnsiTheme="minorHAnsi" w:cstheme="minorHAnsi"/>
        </w:rPr>
        <w:t xml:space="preserve">IT-budget (normalt serviceniveau). Ny anskaffelser ifm. med ny-normeringer, </w:t>
      </w:r>
      <w:r w:rsidR="00966EA1" w:rsidRPr="00A46E2C">
        <w:rPr>
          <w:rFonts w:asciiTheme="minorHAnsi" w:hAnsiTheme="minorHAnsi" w:cstheme="minorHAnsi"/>
        </w:rPr>
        <w:t>praktikpladser etc</w:t>
      </w:r>
      <w:r w:rsidR="008C3481">
        <w:rPr>
          <w:rFonts w:asciiTheme="minorHAnsi" w:hAnsiTheme="minorHAnsi" w:cstheme="minorHAnsi"/>
        </w:rPr>
        <w:t>.</w:t>
      </w:r>
      <w:r w:rsidR="008C3481" w:rsidRPr="008C3481">
        <w:t xml:space="preserve"> </w:t>
      </w:r>
      <w:r w:rsidR="00ED0A98" w:rsidRPr="008C3481">
        <w:rPr>
          <w:rFonts w:asciiTheme="minorHAnsi" w:hAnsiTheme="minorHAnsi" w:cstheme="minorHAnsi"/>
        </w:rPr>
        <w:t>finansier</w:t>
      </w:r>
      <w:r w:rsidR="00ED0A98">
        <w:rPr>
          <w:rFonts w:asciiTheme="minorHAnsi" w:hAnsiTheme="minorHAnsi" w:cstheme="minorHAnsi"/>
        </w:rPr>
        <w:t>es</w:t>
      </w:r>
      <w:r w:rsidR="008C3481" w:rsidRPr="008C3481">
        <w:rPr>
          <w:rFonts w:asciiTheme="minorHAnsi" w:hAnsiTheme="minorHAnsi" w:cstheme="minorHAnsi"/>
        </w:rPr>
        <w:t xml:space="preserve"> </w:t>
      </w:r>
      <w:r w:rsidRPr="00A46E2C">
        <w:rPr>
          <w:rFonts w:asciiTheme="minorHAnsi" w:hAnsiTheme="minorHAnsi" w:cstheme="minorHAnsi"/>
        </w:rPr>
        <w:t>af den enkelte afdeling</w:t>
      </w:r>
      <w:r w:rsidR="00486B7D" w:rsidRPr="00A46E2C">
        <w:rPr>
          <w:rFonts w:asciiTheme="minorHAnsi" w:hAnsiTheme="minorHAnsi" w:cstheme="minorHAnsi"/>
        </w:rPr>
        <w:t>. IT afdelingen justerer løbende indhold af standardarbejdspladsen ift. teknologiens udvikling.</w:t>
      </w:r>
      <w:r w:rsidR="00A46E2C" w:rsidRPr="00A46E2C">
        <w:rPr>
          <w:rFonts w:asciiTheme="minorHAnsi" w:hAnsiTheme="minorHAnsi" w:cstheme="minorHAnsi"/>
        </w:rPr>
        <w:br/>
      </w:r>
    </w:p>
    <w:p w14:paraId="293E91DF" w14:textId="39BD2EE6" w:rsidR="00A46E2C" w:rsidRPr="00A46E2C" w:rsidRDefault="00A46E2C" w:rsidP="00A46E2C">
      <w:pPr>
        <w:pStyle w:val="Listeafsnit"/>
        <w:numPr>
          <w:ilvl w:val="0"/>
          <w:numId w:val="33"/>
        </w:numPr>
        <w:tabs>
          <w:tab w:val="left" w:pos="5812"/>
          <w:tab w:val="left" w:pos="6096"/>
          <w:tab w:val="left" w:pos="6379"/>
          <w:tab w:val="left" w:pos="6521"/>
        </w:tabs>
        <w:jc w:val="both"/>
        <w:rPr>
          <w:rFonts w:asciiTheme="minorHAnsi" w:hAnsiTheme="minorHAnsi" w:cstheme="minorHAnsi"/>
        </w:rPr>
      </w:pPr>
      <w:r w:rsidRPr="00A46E2C">
        <w:rPr>
          <w:rFonts w:asciiTheme="minorHAnsi" w:hAnsiTheme="minorHAnsi" w:cstheme="minorHAnsi"/>
        </w:rPr>
        <w:t>Decentrale institutioner, skoler, plejecentre m.v. afholder alle udgifter til IT drift, IT-anskaffelser, nye systemer m.v. indenfor eget budget.</w:t>
      </w:r>
    </w:p>
    <w:p w14:paraId="1AEC5671" w14:textId="2945C0CA" w:rsidR="007B0FAE" w:rsidRPr="00A46E2C" w:rsidRDefault="007B0FAE" w:rsidP="00486B7D">
      <w:pPr>
        <w:tabs>
          <w:tab w:val="left" w:pos="5812"/>
          <w:tab w:val="left" w:pos="6096"/>
          <w:tab w:val="left" w:pos="6379"/>
          <w:tab w:val="left" w:pos="6521"/>
        </w:tabs>
        <w:ind w:firstLine="45"/>
        <w:jc w:val="both"/>
        <w:rPr>
          <w:rFonts w:asciiTheme="minorHAnsi" w:hAnsiTheme="minorHAnsi" w:cstheme="minorHAnsi"/>
        </w:rPr>
      </w:pPr>
    </w:p>
    <w:p w14:paraId="231E36CE" w14:textId="6446B9A7" w:rsidR="007B0FAE" w:rsidRPr="00486B7D" w:rsidRDefault="00486B7D" w:rsidP="00486B7D">
      <w:pPr>
        <w:pStyle w:val="Listeafsnit"/>
        <w:numPr>
          <w:ilvl w:val="0"/>
          <w:numId w:val="33"/>
        </w:numPr>
        <w:tabs>
          <w:tab w:val="left" w:pos="5812"/>
          <w:tab w:val="left" w:pos="6096"/>
          <w:tab w:val="left" w:pos="6379"/>
          <w:tab w:val="left" w:pos="6521"/>
        </w:tabs>
        <w:rPr>
          <w:szCs w:val="24"/>
        </w:rPr>
      </w:pPr>
      <w:r w:rsidRPr="00A46E2C">
        <w:rPr>
          <w:rFonts w:asciiTheme="minorHAnsi" w:hAnsiTheme="minorHAnsi" w:cstheme="minorHAnsi"/>
        </w:rPr>
        <w:t xml:space="preserve">Udgifter til indkøb af hjemmearbejdspladser, bærbar PC, mobiltelefon og </w:t>
      </w:r>
      <w:r w:rsidR="00ED0A98" w:rsidRPr="00A46E2C">
        <w:rPr>
          <w:rFonts w:asciiTheme="minorHAnsi" w:hAnsiTheme="minorHAnsi" w:cstheme="minorHAnsi"/>
        </w:rPr>
        <w:t>IPad</w:t>
      </w:r>
      <w:r w:rsidRPr="00A46E2C">
        <w:rPr>
          <w:rFonts w:asciiTheme="minorHAnsi" w:hAnsiTheme="minorHAnsi" w:cstheme="minorHAnsi"/>
        </w:rPr>
        <w:t xml:space="preserve"> finansieres som hidtil af de enkelte afdelinger og institutioner</w:t>
      </w:r>
      <w:r w:rsidR="007B0FAE" w:rsidRPr="00A46E2C">
        <w:rPr>
          <w:rFonts w:asciiTheme="minorHAnsi" w:hAnsiTheme="minorHAnsi" w:cstheme="minorHAnsi"/>
        </w:rPr>
        <w:t xml:space="preserve"> </w:t>
      </w:r>
      <w:r w:rsidRPr="00A46E2C">
        <w:rPr>
          <w:rFonts w:asciiTheme="minorHAnsi" w:hAnsiTheme="minorHAnsi" w:cstheme="minorHAnsi"/>
        </w:rPr>
        <w:br/>
      </w:r>
    </w:p>
    <w:p w14:paraId="1E4BA66C" w14:textId="77777777" w:rsidR="007B0FAE" w:rsidRPr="00070D9F" w:rsidRDefault="007B0FAE" w:rsidP="007B0FAE">
      <w:pPr>
        <w:tabs>
          <w:tab w:val="left" w:pos="5812"/>
          <w:tab w:val="left" w:pos="6096"/>
          <w:tab w:val="left" w:pos="6379"/>
          <w:tab w:val="left" w:pos="6521"/>
        </w:tabs>
        <w:jc w:val="both"/>
        <w:rPr>
          <w:szCs w:val="24"/>
        </w:rPr>
      </w:pPr>
    </w:p>
    <w:p w14:paraId="3FB49348" w14:textId="77777777" w:rsidR="001106DC" w:rsidRDefault="001106DC" w:rsidP="001106DC"/>
    <w:p w14:paraId="0D831963" w14:textId="77777777" w:rsidR="001106DC" w:rsidRDefault="001106DC" w:rsidP="001106DC"/>
    <w:p w14:paraId="7971917A" w14:textId="77777777" w:rsidR="001106DC" w:rsidRDefault="001106DC" w:rsidP="001106DC"/>
    <w:p w14:paraId="14E6DD19" w14:textId="77777777" w:rsidR="001106DC" w:rsidRDefault="001106DC" w:rsidP="001106DC"/>
    <w:p w14:paraId="77BCD195" w14:textId="77777777" w:rsidR="001106DC" w:rsidRDefault="001106DC" w:rsidP="001106DC"/>
    <w:p w14:paraId="21C1489A" w14:textId="4F23E343" w:rsidR="0007424A" w:rsidRDefault="0007424A">
      <w:pPr>
        <w:spacing w:after="0" w:line="240" w:lineRule="auto"/>
        <w:rPr>
          <w:rFonts w:cs="Arial"/>
          <w:bCs/>
          <w:kern w:val="32"/>
          <w:sz w:val="44"/>
          <w:szCs w:val="32"/>
        </w:rPr>
      </w:pPr>
      <w:r>
        <w:br w:type="page"/>
      </w:r>
    </w:p>
    <w:p w14:paraId="2ED2564F" w14:textId="77777777" w:rsidR="000D6B04" w:rsidRDefault="000D6B04" w:rsidP="00251A70">
      <w:pPr>
        <w:pStyle w:val="Overskrift1"/>
      </w:pPr>
    </w:p>
    <w:p w14:paraId="0F0AFF02" w14:textId="77777777" w:rsidR="00B01975" w:rsidRDefault="00B01975" w:rsidP="00B01975">
      <w:pPr>
        <w:pStyle w:val="Overskrift1"/>
      </w:pPr>
    </w:p>
    <w:p w14:paraId="33E5B902" w14:textId="77777777" w:rsidR="001106DC" w:rsidRDefault="001106DC" w:rsidP="00251A70">
      <w:pPr>
        <w:pStyle w:val="Overskrift1"/>
      </w:pPr>
      <w:bookmarkStart w:id="12" w:name="_Toc229371775"/>
      <w:r>
        <w:t xml:space="preserve">Bilag </w:t>
      </w:r>
      <w:r w:rsidR="007459E9">
        <w:t>2</w:t>
      </w:r>
      <w:r w:rsidRPr="00D17CD3">
        <w:t>.</w:t>
      </w:r>
      <w:r>
        <w:t xml:space="preserve"> VIP </w:t>
      </w:r>
      <w:r w:rsidR="00232703">
        <w:t>Service</w:t>
      </w:r>
      <w:bookmarkEnd w:id="12"/>
    </w:p>
    <w:p w14:paraId="0EF74DEF" w14:textId="77777777" w:rsidR="001106DC" w:rsidRDefault="001106DC" w:rsidP="001106DC">
      <w:pPr>
        <w:spacing w:after="0"/>
      </w:pPr>
      <w:r>
        <w:t xml:space="preserve">Der er jævnligt konstateret behov for øjeblikkelig it-service til </w:t>
      </w:r>
      <w:r w:rsidR="007459E9">
        <w:t>bestemte</w:t>
      </w:r>
      <w:r>
        <w:t xml:space="preserve"> personer.</w:t>
      </w:r>
    </w:p>
    <w:p w14:paraId="407572E3" w14:textId="77777777" w:rsidR="001106DC" w:rsidRDefault="001106DC" w:rsidP="001106DC">
      <w:pPr>
        <w:spacing w:after="0"/>
      </w:pPr>
    </w:p>
    <w:p w14:paraId="74C5369E" w14:textId="14F4F4A8" w:rsidR="001106DC" w:rsidRDefault="0007424A" w:rsidP="001106DC">
      <w:pPr>
        <w:spacing w:after="0"/>
      </w:pPr>
      <w:r>
        <w:t>IT afdelingen prioriterer j</w:t>
      </w:r>
      <w:r w:rsidR="00C93DC9">
        <w:t>ævnfør</w:t>
      </w:r>
      <w:r w:rsidR="001106DC">
        <w:t xml:space="preserve"> </w:t>
      </w:r>
      <w:r w:rsidR="00C93DC9">
        <w:t>y</w:t>
      </w:r>
      <w:r w:rsidR="001106DC">
        <w:t xml:space="preserve">delseskataloget </w:t>
      </w:r>
      <w:r>
        <w:t xml:space="preserve">de indkomne </w:t>
      </w:r>
      <w:r w:rsidR="001106DC">
        <w:t>sager</w:t>
      </w:r>
      <w:r>
        <w:t xml:space="preserve"> som</w:t>
      </w:r>
      <w:r w:rsidR="001106DC">
        <w:t xml:space="preserve"> blive</w:t>
      </w:r>
      <w:r>
        <w:t>r</w:t>
      </w:r>
      <w:r w:rsidR="001106DC">
        <w:t xml:space="preserve"> tildelt en prioritet indeholdende tidsfrister for afsluttet sagshåndtering.</w:t>
      </w:r>
    </w:p>
    <w:p w14:paraId="4CCD4887" w14:textId="77777777" w:rsidR="001106DC" w:rsidRDefault="001106DC" w:rsidP="001106DC">
      <w:pPr>
        <w:spacing w:after="0"/>
      </w:pPr>
    </w:p>
    <w:p w14:paraId="7A644A11" w14:textId="5DDCE3A3" w:rsidR="001106DC" w:rsidRDefault="0007424A" w:rsidP="001106DC">
      <w:pPr>
        <w:spacing w:after="0"/>
      </w:pPr>
      <w:r>
        <w:t>Enkelte personer sidder i stillinger eller andet der fordrer en øget opmærksomhed og som derfor kræver service ud over de i Ydelseskataloget bestemte frister. Der er derfor</w:t>
      </w:r>
      <w:r w:rsidR="001106DC">
        <w:t xml:space="preserve"> behov for en klar fremgangsmåde for håndteringen af de situationer, hvor brugere kræver it-ydelser med prioritet, der ikke er dækket af den normale prioritering.</w:t>
      </w:r>
    </w:p>
    <w:p w14:paraId="747A6502" w14:textId="77777777" w:rsidR="001106DC" w:rsidRDefault="001106DC" w:rsidP="001106DC">
      <w:pPr>
        <w:spacing w:after="0"/>
      </w:pPr>
    </w:p>
    <w:p w14:paraId="1682013B" w14:textId="77777777" w:rsidR="001106DC" w:rsidRDefault="001106DC" w:rsidP="001106DC">
      <w:pPr>
        <w:spacing w:after="0"/>
      </w:pPr>
      <w:r w:rsidRPr="0007424A">
        <w:rPr>
          <w:b/>
          <w:bCs/>
        </w:rPr>
        <w:t>Den typiske bruger gruppe</w:t>
      </w:r>
      <w:r w:rsidR="00D410E4" w:rsidRPr="0007424A">
        <w:rPr>
          <w:b/>
          <w:bCs/>
        </w:rPr>
        <w:t xml:space="preserve"> som kan fordre VIP service</w:t>
      </w:r>
      <w:r w:rsidRPr="0007424A">
        <w:rPr>
          <w:b/>
          <w:bCs/>
        </w:rPr>
        <w:t xml:space="preserve"> er politikere, direktører</w:t>
      </w:r>
      <w:r w:rsidR="007459E9" w:rsidRPr="0007424A">
        <w:rPr>
          <w:b/>
          <w:bCs/>
        </w:rPr>
        <w:t xml:space="preserve"> og</w:t>
      </w:r>
      <w:r w:rsidRPr="0007424A">
        <w:rPr>
          <w:b/>
          <w:bCs/>
        </w:rPr>
        <w:t xml:space="preserve"> chefer</w:t>
      </w:r>
      <w:r>
        <w:t>.</w:t>
      </w:r>
    </w:p>
    <w:p w14:paraId="1475DF85" w14:textId="77777777" w:rsidR="001106DC" w:rsidRDefault="001106DC" w:rsidP="001106DC">
      <w:pPr>
        <w:spacing w:after="0"/>
      </w:pPr>
    </w:p>
    <w:p w14:paraId="090CB5CE" w14:textId="77777777" w:rsidR="001106DC" w:rsidRDefault="001106DC" w:rsidP="001106DC">
      <w:pPr>
        <w:spacing w:after="0"/>
      </w:pPr>
      <w:r>
        <w:t xml:space="preserve">I forbindelse med ITIL organiseringen af </w:t>
      </w:r>
      <w:r w:rsidR="00D9717A">
        <w:t>IT afdelingen</w:t>
      </w:r>
      <w:r w:rsidR="00D410E4">
        <w:t xml:space="preserve"> </w:t>
      </w:r>
      <w:r>
        <w:t>vil hovedfokus på opgave løsningen være at genskabe den forretningsmæssige drift for den berørte bruger eller afdeling.</w:t>
      </w:r>
    </w:p>
    <w:p w14:paraId="47A75410" w14:textId="77777777" w:rsidR="001106DC" w:rsidRDefault="001106DC" w:rsidP="001106DC">
      <w:pPr>
        <w:spacing w:after="0"/>
      </w:pPr>
    </w:p>
    <w:p w14:paraId="7950B470" w14:textId="2A667C73" w:rsidR="001106DC" w:rsidRDefault="001106DC" w:rsidP="001106DC">
      <w:pPr>
        <w:spacing w:after="0"/>
      </w:pPr>
      <w:r>
        <w:t xml:space="preserve">I </w:t>
      </w:r>
      <w:r w:rsidR="00B0251E">
        <w:t>Nyborg</w:t>
      </w:r>
      <w:r>
        <w:t xml:space="preserve"> </w:t>
      </w:r>
      <w:r w:rsidR="00C93DC9">
        <w:t xml:space="preserve">Kommunes </w:t>
      </w:r>
      <w:r>
        <w:t xml:space="preserve">installation vil dette betyde, at der først og fremmest skal genetableres </w:t>
      </w:r>
      <w:r w:rsidR="0007424A">
        <w:t xml:space="preserve">basis </w:t>
      </w:r>
      <w:r>
        <w:t xml:space="preserve">adgang til </w:t>
      </w:r>
      <w:r w:rsidR="0007424A">
        <w:t xml:space="preserve">infrastruktur og </w:t>
      </w:r>
      <w:r>
        <w:t>kritiske forretningsapplikationer</w:t>
      </w:r>
      <w:r w:rsidR="0007424A">
        <w:t>, herunder mail, telefoni og andre vitale kommunikations-platforme.</w:t>
      </w:r>
    </w:p>
    <w:p w14:paraId="28272998" w14:textId="77777777" w:rsidR="001106DC" w:rsidRDefault="001106DC" w:rsidP="001106DC">
      <w:pPr>
        <w:spacing w:after="0"/>
      </w:pPr>
    </w:p>
    <w:p w14:paraId="01737E45" w14:textId="77777777" w:rsidR="007459E9" w:rsidRDefault="0016138D" w:rsidP="0016138D">
      <w:pPr>
        <w:spacing w:after="0"/>
      </w:pPr>
      <w:r>
        <w:t>Oven</w:t>
      </w:r>
      <w:r w:rsidR="001106DC">
        <w:t xml:space="preserve">stående procedure er udtryk for, at de nævnte brugere kan tildeles </w:t>
      </w:r>
      <w:r w:rsidR="00D410E4">
        <w:t>en</w:t>
      </w:r>
      <w:r w:rsidR="001106DC">
        <w:t xml:space="preserve"> højere prioritet, såfremt der anmodes herom.</w:t>
      </w:r>
    </w:p>
    <w:sectPr w:rsidR="007459E9" w:rsidSect="009B717B">
      <w:headerReference w:type="first" r:id="rId13"/>
      <w:footerReference w:type="first" r:id="rId14"/>
      <w:pgSz w:w="11906" w:h="16838" w:code="9"/>
      <w:pgMar w:top="1418" w:right="1134" w:bottom="357" w:left="1134" w:header="425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B453E" w14:textId="77777777" w:rsidR="00310A4D" w:rsidRDefault="00310A4D">
      <w:r>
        <w:separator/>
      </w:r>
    </w:p>
  </w:endnote>
  <w:endnote w:type="continuationSeparator" w:id="0">
    <w:p w14:paraId="7AAD4BF8" w14:textId="77777777" w:rsidR="00310A4D" w:rsidRDefault="0031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5C323" w14:textId="77777777" w:rsidR="00310A4D" w:rsidRPr="00AC773B" w:rsidRDefault="00310A4D" w:rsidP="00AC773B">
    <w:pPr>
      <w:pStyle w:val="Sidefod"/>
      <w:pBdr>
        <w:top w:val="single" w:sz="4" w:space="1" w:color="auto"/>
      </w:pBdr>
      <w:tabs>
        <w:tab w:val="clear" w:pos="4819"/>
      </w:tabs>
      <w:jc w:val="right"/>
    </w:pPr>
    <w:r>
      <w:rPr>
        <w:rStyle w:val="Sidetal"/>
      </w:rPr>
      <w:t>IT-Afdelingen</w:t>
    </w:r>
    <w:r>
      <w:rPr>
        <w:rStyle w:val="Sidetal"/>
      </w:rP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D31DB9">
      <w:rPr>
        <w:rStyle w:val="Sidetal"/>
        <w:noProof/>
      </w:rPr>
      <w:t>5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D31DB9">
      <w:rPr>
        <w:rStyle w:val="Sidetal"/>
        <w:noProof/>
      </w:rPr>
      <w:t>10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367A" w14:textId="77777777" w:rsidR="00310A4D" w:rsidRDefault="00310A4D" w:rsidP="00952F96">
    <w:pPr>
      <w:pStyle w:val="Sidefod"/>
      <w:pBdr>
        <w:top w:val="single" w:sz="4" w:space="1" w:color="auto"/>
      </w:pBdr>
      <w:tabs>
        <w:tab w:val="clear" w:pos="4819"/>
      </w:tabs>
      <w:jc w:val="right"/>
    </w:pPr>
    <w:r>
      <w:rPr>
        <w:rStyle w:val="Sidetal"/>
      </w:rPr>
      <w:t>IT Afdelingen</w:t>
    </w:r>
    <w:r>
      <w:rPr>
        <w:rStyle w:val="Sidetal"/>
      </w:rP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D31DB9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D31DB9">
      <w:rPr>
        <w:rStyle w:val="Sidetal"/>
        <w:noProof/>
      </w:rPr>
      <w:t>10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70844" w14:textId="77777777" w:rsidR="00310A4D" w:rsidRDefault="00310A4D">
      <w:r>
        <w:separator/>
      </w:r>
    </w:p>
  </w:footnote>
  <w:footnote w:type="continuationSeparator" w:id="0">
    <w:p w14:paraId="777E2FE4" w14:textId="77777777" w:rsidR="00310A4D" w:rsidRDefault="0031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15D55" w14:textId="77777777" w:rsidR="00310A4D" w:rsidRPr="00A87944" w:rsidRDefault="00310A4D" w:rsidP="00AC773B">
    <w:pPr>
      <w:pStyle w:val="Sidehoved"/>
      <w:pBdr>
        <w:bottom w:val="single" w:sz="4" w:space="1" w:color="auto"/>
      </w:pBdr>
      <w:rPr>
        <w:sz w:val="28"/>
        <w:szCs w:val="28"/>
      </w:rPr>
    </w:pPr>
    <w:r w:rsidRPr="00A87944">
      <w:rPr>
        <w:sz w:val="28"/>
        <w:szCs w:val="28"/>
      </w:rPr>
      <w:t>Ydelseskatalog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06CB9" w14:textId="77777777" w:rsidR="00310A4D" w:rsidRPr="00A87944" w:rsidRDefault="00310A4D" w:rsidP="00A87944">
    <w:pPr>
      <w:pStyle w:val="Sidehoved"/>
      <w:pBdr>
        <w:bottom w:val="single" w:sz="4" w:space="1" w:color="auto"/>
      </w:pBdr>
      <w:rPr>
        <w:sz w:val="28"/>
        <w:szCs w:val="28"/>
      </w:rPr>
    </w:pPr>
    <w:r w:rsidRPr="00A87944">
      <w:rPr>
        <w:sz w:val="28"/>
        <w:szCs w:val="28"/>
      </w:rPr>
      <w:t>Ydelseskatalog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B01"/>
    <w:multiLevelType w:val="hybridMultilevel"/>
    <w:tmpl w:val="C0480E88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468D2"/>
    <w:multiLevelType w:val="hybridMultilevel"/>
    <w:tmpl w:val="007840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679"/>
    <w:multiLevelType w:val="hybridMultilevel"/>
    <w:tmpl w:val="6AB4F142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4F75"/>
    <w:multiLevelType w:val="hybridMultilevel"/>
    <w:tmpl w:val="11B6D9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BE1"/>
    <w:multiLevelType w:val="hybridMultilevel"/>
    <w:tmpl w:val="D29C443E"/>
    <w:lvl w:ilvl="0" w:tplc="E702C7C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4ADA"/>
    <w:multiLevelType w:val="hybridMultilevel"/>
    <w:tmpl w:val="0E703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30A9B"/>
    <w:multiLevelType w:val="hybridMultilevel"/>
    <w:tmpl w:val="0232A2A0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27379"/>
    <w:multiLevelType w:val="hybridMultilevel"/>
    <w:tmpl w:val="470AC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5F6B"/>
    <w:multiLevelType w:val="hybridMultilevel"/>
    <w:tmpl w:val="1892057E"/>
    <w:lvl w:ilvl="0" w:tplc="04060001">
      <w:start w:val="1"/>
      <w:numFmt w:val="bullet"/>
      <w:pStyle w:val="Indholdsfortegnelse2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660" w:hanging="360"/>
      </w:pPr>
    </w:lvl>
    <w:lvl w:ilvl="2" w:tplc="0406001B" w:tentative="1">
      <w:start w:val="1"/>
      <w:numFmt w:val="lowerRoman"/>
      <w:lvlText w:val="%3."/>
      <w:lvlJc w:val="right"/>
      <w:pPr>
        <w:ind w:left="2380" w:hanging="180"/>
      </w:pPr>
    </w:lvl>
    <w:lvl w:ilvl="3" w:tplc="0406000F" w:tentative="1">
      <w:start w:val="1"/>
      <w:numFmt w:val="decimal"/>
      <w:lvlText w:val="%4."/>
      <w:lvlJc w:val="left"/>
      <w:pPr>
        <w:ind w:left="3100" w:hanging="360"/>
      </w:pPr>
    </w:lvl>
    <w:lvl w:ilvl="4" w:tplc="04060019" w:tentative="1">
      <w:start w:val="1"/>
      <w:numFmt w:val="lowerLetter"/>
      <w:lvlText w:val="%5."/>
      <w:lvlJc w:val="left"/>
      <w:pPr>
        <w:ind w:left="3820" w:hanging="360"/>
      </w:pPr>
    </w:lvl>
    <w:lvl w:ilvl="5" w:tplc="0406001B" w:tentative="1">
      <w:start w:val="1"/>
      <w:numFmt w:val="lowerRoman"/>
      <w:lvlText w:val="%6."/>
      <w:lvlJc w:val="right"/>
      <w:pPr>
        <w:ind w:left="4540" w:hanging="180"/>
      </w:pPr>
    </w:lvl>
    <w:lvl w:ilvl="6" w:tplc="0406000F" w:tentative="1">
      <w:start w:val="1"/>
      <w:numFmt w:val="decimal"/>
      <w:lvlText w:val="%7."/>
      <w:lvlJc w:val="left"/>
      <w:pPr>
        <w:ind w:left="5260" w:hanging="360"/>
      </w:pPr>
    </w:lvl>
    <w:lvl w:ilvl="7" w:tplc="04060019" w:tentative="1">
      <w:start w:val="1"/>
      <w:numFmt w:val="lowerLetter"/>
      <w:lvlText w:val="%8."/>
      <w:lvlJc w:val="left"/>
      <w:pPr>
        <w:ind w:left="5980" w:hanging="360"/>
      </w:pPr>
    </w:lvl>
    <w:lvl w:ilvl="8" w:tplc="0406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26CD4B2C"/>
    <w:multiLevelType w:val="hybridMultilevel"/>
    <w:tmpl w:val="1CD0A0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61BB"/>
    <w:multiLevelType w:val="hybridMultilevel"/>
    <w:tmpl w:val="99F26E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50D"/>
    <w:multiLevelType w:val="hybridMultilevel"/>
    <w:tmpl w:val="D2BADD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1EC"/>
    <w:multiLevelType w:val="hybridMultilevel"/>
    <w:tmpl w:val="0E121B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24B"/>
    <w:multiLevelType w:val="multilevel"/>
    <w:tmpl w:val="D29C443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70E0D"/>
    <w:multiLevelType w:val="hybridMultilevel"/>
    <w:tmpl w:val="43F0BD96"/>
    <w:lvl w:ilvl="0" w:tplc="B5B8CB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045FA"/>
    <w:multiLevelType w:val="hybridMultilevel"/>
    <w:tmpl w:val="62D032F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01CE6"/>
    <w:multiLevelType w:val="hybridMultilevel"/>
    <w:tmpl w:val="9452B4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8641A"/>
    <w:multiLevelType w:val="hybridMultilevel"/>
    <w:tmpl w:val="0B74A8D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116D1"/>
    <w:multiLevelType w:val="multilevel"/>
    <w:tmpl w:val="152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F50FC"/>
    <w:multiLevelType w:val="hybridMultilevel"/>
    <w:tmpl w:val="E11A38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B2929"/>
    <w:multiLevelType w:val="hybridMultilevel"/>
    <w:tmpl w:val="81B6A4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32B52"/>
    <w:multiLevelType w:val="hybridMultilevel"/>
    <w:tmpl w:val="5F50182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1A2C"/>
    <w:multiLevelType w:val="hybridMultilevel"/>
    <w:tmpl w:val="99C8FC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819BC"/>
    <w:multiLevelType w:val="hybridMultilevel"/>
    <w:tmpl w:val="EE4EE08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270F6"/>
    <w:multiLevelType w:val="hybridMultilevel"/>
    <w:tmpl w:val="B9E8810E"/>
    <w:lvl w:ilvl="0" w:tplc="31980658">
      <w:start w:val="5"/>
      <w:numFmt w:val="bullet"/>
      <w:lvlText w:val="-"/>
      <w:lvlJc w:val="left"/>
      <w:pPr>
        <w:ind w:left="1665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4E9E4ACD"/>
    <w:multiLevelType w:val="hybridMultilevel"/>
    <w:tmpl w:val="8E0E29D6"/>
    <w:lvl w:ilvl="0" w:tplc="6C848B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2271"/>
    <w:multiLevelType w:val="hybridMultilevel"/>
    <w:tmpl w:val="E5DE1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8024D"/>
    <w:multiLevelType w:val="hybridMultilevel"/>
    <w:tmpl w:val="D5A49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A617C"/>
    <w:multiLevelType w:val="multilevel"/>
    <w:tmpl w:val="2BF2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7E7DAB"/>
    <w:multiLevelType w:val="hybridMultilevel"/>
    <w:tmpl w:val="D22809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36E8"/>
    <w:multiLevelType w:val="hybridMultilevel"/>
    <w:tmpl w:val="671AD8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1B84"/>
    <w:multiLevelType w:val="hybridMultilevel"/>
    <w:tmpl w:val="A006A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F72F3"/>
    <w:multiLevelType w:val="hybridMultilevel"/>
    <w:tmpl w:val="99F26E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E70D3"/>
    <w:multiLevelType w:val="hybridMultilevel"/>
    <w:tmpl w:val="32FAEF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23"/>
  </w:num>
  <w:num w:numId="7">
    <w:abstractNumId w:val="33"/>
  </w:num>
  <w:num w:numId="8">
    <w:abstractNumId w:val="0"/>
  </w:num>
  <w:num w:numId="9">
    <w:abstractNumId w:val="2"/>
  </w:num>
  <w:num w:numId="10">
    <w:abstractNumId w:val="20"/>
  </w:num>
  <w:num w:numId="11">
    <w:abstractNumId w:val="30"/>
  </w:num>
  <w:num w:numId="12">
    <w:abstractNumId w:val="24"/>
  </w:num>
  <w:num w:numId="13">
    <w:abstractNumId w:val="21"/>
  </w:num>
  <w:num w:numId="14">
    <w:abstractNumId w:val="10"/>
  </w:num>
  <w:num w:numId="15">
    <w:abstractNumId w:val="16"/>
  </w:num>
  <w:num w:numId="16">
    <w:abstractNumId w:val="3"/>
  </w:num>
  <w:num w:numId="17">
    <w:abstractNumId w:val="6"/>
  </w:num>
  <w:num w:numId="18">
    <w:abstractNumId w:val="17"/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25"/>
  </w:num>
  <w:num w:numId="23">
    <w:abstractNumId w:val="14"/>
  </w:num>
  <w:num w:numId="24">
    <w:abstractNumId w:val="7"/>
  </w:num>
  <w:num w:numId="25">
    <w:abstractNumId w:val="26"/>
  </w:num>
  <w:num w:numId="26">
    <w:abstractNumId w:val="31"/>
  </w:num>
  <w:num w:numId="27">
    <w:abstractNumId w:val="28"/>
  </w:num>
  <w:num w:numId="28">
    <w:abstractNumId w:val="29"/>
  </w:num>
  <w:num w:numId="29">
    <w:abstractNumId w:val="8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2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1304"/>
  <w:autoHyphenation/>
  <w:hyphenationZone w:val="57"/>
  <w:drawingGridHorizontalSpacing w:val="95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44"/>
    <w:rsid w:val="00034618"/>
    <w:rsid w:val="00034834"/>
    <w:rsid w:val="00037C5F"/>
    <w:rsid w:val="00045F8A"/>
    <w:rsid w:val="000717E5"/>
    <w:rsid w:val="00072900"/>
    <w:rsid w:val="00073262"/>
    <w:rsid w:val="0007424A"/>
    <w:rsid w:val="00075D1B"/>
    <w:rsid w:val="00092943"/>
    <w:rsid w:val="000B0C07"/>
    <w:rsid w:val="000B2738"/>
    <w:rsid w:val="000D6B04"/>
    <w:rsid w:val="001106DC"/>
    <w:rsid w:val="00133960"/>
    <w:rsid w:val="00134699"/>
    <w:rsid w:val="001458EC"/>
    <w:rsid w:val="00151CC2"/>
    <w:rsid w:val="0016138D"/>
    <w:rsid w:val="00181DD1"/>
    <w:rsid w:val="001A385A"/>
    <w:rsid w:val="001A6006"/>
    <w:rsid w:val="001B1E68"/>
    <w:rsid w:val="001B2CCB"/>
    <w:rsid w:val="001D27DB"/>
    <w:rsid w:val="001E4418"/>
    <w:rsid w:val="001F1FE2"/>
    <w:rsid w:val="00203730"/>
    <w:rsid w:val="00224179"/>
    <w:rsid w:val="00232703"/>
    <w:rsid w:val="002412F5"/>
    <w:rsid w:val="00241D04"/>
    <w:rsid w:val="00251A70"/>
    <w:rsid w:val="00276D96"/>
    <w:rsid w:val="002865EA"/>
    <w:rsid w:val="00292710"/>
    <w:rsid w:val="0029489F"/>
    <w:rsid w:val="002B368E"/>
    <w:rsid w:val="002C2203"/>
    <w:rsid w:val="002D0FA5"/>
    <w:rsid w:val="002D4096"/>
    <w:rsid w:val="002F1E79"/>
    <w:rsid w:val="002F62A5"/>
    <w:rsid w:val="00310A4D"/>
    <w:rsid w:val="00343A40"/>
    <w:rsid w:val="003563C4"/>
    <w:rsid w:val="00380BAA"/>
    <w:rsid w:val="00396F0C"/>
    <w:rsid w:val="003A2986"/>
    <w:rsid w:val="003B0036"/>
    <w:rsid w:val="003C6B3A"/>
    <w:rsid w:val="003D443A"/>
    <w:rsid w:val="003E3612"/>
    <w:rsid w:val="003F3C82"/>
    <w:rsid w:val="003F79D1"/>
    <w:rsid w:val="00406192"/>
    <w:rsid w:val="00420919"/>
    <w:rsid w:val="00432B58"/>
    <w:rsid w:val="004572A8"/>
    <w:rsid w:val="00460355"/>
    <w:rsid w:val="00486B7D"/>
    <w:rsid w:val="004A1F97"/>
    <w:rsid w:val="004C24BA"/>
    <w:rsid w:val="004D0DDD"/>
    <w:rsid w:val="004D21C4"/>
    <w:rsid w:val="004E1547"/>
    <w:rsid w:val="004F3BB1"/>
    <w:rsid w:val="004F718D"/>
    <w:rsid w:val="00504600"/>
    <w:rsid w:val="00506282"/>
    <w:rsid w:val="00511D2B"/>
    <w:rsid w:val="00514A5E"/>
    <w:rsid w:val="00524A14"/>
    <w:rsid w:val="00527723"/>
    <w:rsid w:val="005538D2"/>
    <w:rsid w:val="00555224"/>
    <w:rsid w:val="00560705"/>
    <w:rsid w:val="005613C9"/>
    <w:rsid w:val="00564D06"/>
    <w:rsid w:val="00566347"/>
    <w:rsid w:val="00567FC0"/>
    <w:rsid w:val="005D3BB0"/>
    <w:rsid w:val="005D4BBC"/>
    <w:rsid w:val="006208E0"/>
    <w:rsid w:val="006541E3"/>
    <w:rsid w:val="00667FE0"/>
    <w:rsid w:val="00673A9C"/>
    <w:rsid w:val="006765FC"/>
    <w:rsid w:val="00683927"/>
    <w:rsid w:val="006A05D6"/>
    <w:rsid w:val="006E46CC"/>
    <w:rsid w:val="006E54E5"/>
    <w:rsid w:val="00744E5A"/>
    <w:rsid w:val="007459E9"/>
    <w:rsid w:val="00747261"/>
    <w:rsid w:val="00784A05"/>
    <w:rsid w:val="0079200D"/>
    <w:rsid w:val="00793DC9"/>
    <w:rsid w:val="007B0FAE"/>
    <w:rsid w:val="007B3898"/>
    <w:rsid w:val="007B6BB9"/>
    <w:rsid w:val="007C2A9B"/>
    <w:rsid w:val="007F365E"/>
    <w:rsid w:val="007F6B75"/>
    <w:rsid w:val="008063E5"/>
    <w:rsid w:val="00812899"/>
    <w:rsid w:val="008237F9"/>
    <w:rsid w:val="008272AA"/>
    <w:rsid w:val="00860E56"/>
    <w:rsid w:val="008676D8"/>
    <w:rsid w:val="0087785C"/>
    <w:rsid w:val="00890EA6"/>
    <w:rsid w:val="00892A88"/>
    <w:rsid w:val="00893146"/>
    <w:rsid w:val="008A315B"/>
    <w:rsid w:val="008B4FA5"/>
    <w:rsid w:val="008B5DBC"/>
    <w:rsid w:val="008C3481"/>
    <w:rsid w:val="008E474C"/>
    <w:rsid w:val="008F7D94"/>
    <w:rsid w:val="009030AE"/>
    <w:rsid w:val="00905E29"/>
    <w:rsid w:val="00910AB6"/>
    <w:rsid w:val="00913C47"/>
    <w:rsid w:val="0092057F"/>
    <w:rsid w:val="00927013"/>
    <w:rsid w:val="00927805"/>
    <w:rsid w:val="00937758"/>
    <w:rsid w:val="009414B0"/>
    <w:rsid w:val="00941A0B"/>
    <w:rsid w:val="00942560"/>
    <w:rsid w:val="009434E3"/>
    <w:rsid w:val="009529CC"/>
    <w:rsid w:val="00952F96"/>
    <w:rsid w:val="00954D13"/>
    <w:rsid w:val="00956D4C"/>
    <w:rsid w:val="00964E77"/>
    <w:rsid w:val="00966EA1"/>
    <w:rsid w:val="00974EEA"/>
    <w:rsid w:val="009777A9"/>
    <w:rsid w:val="00981AD0"/>
    <w:rsid w:val="009875EE"/>
    <w:rsid w:val="009A32DB"/>
    <w:rsid w:val="009A370D"/>
    <w:rsid w:val="009B0A24"/>
    <w:rsid w:val="009B1952"/>
    <w:rsid w:val="009B717B"/>
    <w:rsid w:val="009C4118"/>
    <w:rsid w:val="009C5542"/>
    <w:rsid w:val="009E0556"/>
    <w:rsid w:val="009E1A40"/>
    <w:rsid w:val="009E6C7A"/>
    <w:rsid w:val="00A46E2C"/>
    <w:rsid w:val="00A6103C"/>
    <w:rsid w:val="00A64134"/>
    <w:rsid w:val="00A82F63"/>
    <w:rsid w:val="00A87944"/>
    <w:rsid w:val="00A95670"/>
    <w:rsid w:val="00AA2460"/>
    <w:rsid w:val="00AA2B56"/>
    <w:rsid w:val="00AA3CF2"/>
    <w:rsid w:val="00AA6BC9"/>
    <w:rsid w:val="00AB1551"/>
    <w:rsid w:val="00AB40A6"/>
    <w:rsid w:val="00AC1B6B"/>
    <w:rsid w:val="00AC773B"/>
    <w:rsid w:val="00AD3214"/>
    <w:rsid w:val="00AE3AEC"/>
    <w:rsid w:val="00AF198F"/>
    <w:rsid w:val="00AF3353"/>
    <w:rsid w:val="00B01975"/>
    <w:rsid w:val="00B0251E"/>
    <w:rsid w:val="00B049F2"/>
    <w:rsid w:val="00B13465"/>
    <w:rsid w:val="00B15B21"/>
    <w:rsid w:val="00B235B1"/>
    <w:rsid w:val="00B262D1"/>
    <w:rsid w:val="00B3795A"/>
    <w:rsid w:val="00B4227B"/>
    <w:rsid w:val="00B64033"/>
    <w:rsid w:val="00B66635"/>
    <w:rsid w:val="00B74942"/>
    <w:rsid w:val="00BB1EF3"/>
    <w:rsid w:val="00BE40AA"/>
    <w:rsid w:val="00BF1390"/>
    <w:rsid w:val="00C077F2"/>
    <w:rsid w:val="00C22193"/>
    <w:rsid w:val="00C32168"/>
    <w:rsid w:val="00C3644A"/>
    <w:rsid w:val="00C422F0"/>
    <w:rsid w:val="00C46252"/>
    <w:rsid w:val="00C500D4"/>
    <w:rsid w:val="00C604E7"/>
    <w:rsid w:val="00C67D3B"/>
    <w:rsid w:val="00C67F47"/>
    <w:rsid w:val="00C93DC9"/>
    <w:rsid w:val="00CA12D5"/>
    <w:rsid w:val="00CC0F89"/>
    <w:rsid w:val="00D0310B"/>
    <w:rsid w:val="00D07731"/>
    <w:rsid w:val="00D1644C"/>
    <w:rsid w:val="00D31DB9"/>
    <w:rsid w:val="00D410E4"/>
    <w:rsid w:val="00D530D8"/>
    <w:rsid w:val="00D544BB"/>
    <w:rsid w:val="00D54A51"/>
    <w:rsid w:val="00D651E2"/>
    <w:rsid w:val="00D80413"/>
    <w:rsid w:val="00D9326B"/>
    <w:rsid w:val="00D9717A"/>
    <w:rsid w:val="00DA07B1"/>
    <w:rsid w:val="00DA4355"/>
    <w:rsid w:val="00DA73D8"/>
    <w:rsid w:val="00DD5F92"/>
    <w:rsid w:val="00DE2578"/>
    <w:rsid w:val="00E0475C"/>
    <w:rsid w:val="00E10215"/>
    <w:rsid w:val="00E137F0"/>
    <w:rsid w:val="00E2615B"/>
    <w:rsid w:val="00E30113"/>
    <w:rsid w:val="00E33E1F"/>
    <w:rsid w:val="00E40D51"/>
    <w:rsid w:val="00E4218F"/>
    <w:rsid w:val="00E43717"/>
    <w:rsid w:val="00E57A7C"/>
    <w:rsid w:val="00E67F1A"/>
    <w:rsid w:val="00E8360B"/>
    <w:rsid w:val="00EA32E7"/>
    <w:rsid w:val="00EA7C64"/>
    <w:rsid w:val="00EB05B5"/>
    <w:rsid w:val="00EB7E68"/>
    <w:rsid w:val="00EC281E"/>
    <w:rsid w:val="00EC287B"/>
    <w:rsid w:val="00EC5196"/>
    <w:rsid w:val="00ED0A98"/>
    <w:rsid w:val="00ED2E01"/>
    <w:rsid w:val="00EE48A0"/>
    <w:rsid w:val="00F03B96"/>
    <w:rsid w:val="00F26188"/>
    <w:rsid w:val="00F31500"/>
    <w:rsid w:val="00F51235"/>
    <w:rsid w:val="00F60A25"/>
    <w:rsid w:val="00F81E24"/>
    <w:rsid w:val="00F860D9"/>
    <w:rsid w:val="00F918CA"/>
    <w:rsid w:val="00FB26B1"/>
    <w:rsid w:val="00FB74C9"/>
    <w:rsid w:val="00FD7BDF"/>
    <w:rsid w:val="00FE7768"/>
    <w:rsid w:val="00FF0322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791A5B"/>
  <w15:docId w15:val="{D0D738D7-4E21-40A8-B9D4-6543736B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A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717B"/>
    <w:pPr>
      <w:keepNext/>
      <w:spacing w:before="240" w:after="120"/>
      <w:outlineLvl w:val="0"/>
    </w:pPr>
    <w:rPr>
      <w:rFonts w:cs="Arial"/>
      <w:bCs/>
      <w:kern w:val="32"/>
      <w:sz w:val="4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B717B"/>
    <w:pPr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gn"/>
    <w:qFormat/>
    <w:rsid w:val="009B717B"/>
    <w:pPr>
      <w:keepNext/>
      <w:spacing w:after="60"/>
      <w:outlineLvl w:val="2"/>
    </w:pPr>
    <w:rPr>
      <w:rFonts w:cs="Arial"/>
      <w:b/>
      <w:bCs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954D1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54D1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95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954D13"/>
    <w:rPr>
      <w:color w:val="0000FF"/>
      <w:u w:val="single"/>
    </w:rPr>
  </w:style>
  <w:style w:type="character" w:styleId="Sidetal">
    <w:name w:val="page number"/>
    <w:basedOn w:val="Standardskrifttypeiafsnit"/>
    <w:rsid w:val="00954D13"/>
  </w:style>
  <w:style w:type="paragraph" w:styleId="NormalWeb">
    <w:name w:val="Normal (Web)"/>
    <w:basedOn w:val="Normal"/>
    <w:rsid w:val="005D3B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rsid w:val="009B717B"/>
    <w:rPr>
      <w:rFonts w:ascii="Calibri" w:eastAsia="Calibri" w:hAnsi="Calibri"/>
      <w:b/>
      <w:sz w:val="32"/>
      <w:szCs w:val="22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9B717B"/>
    <w:rPr>
      <w:rFonts w:ascii="Calibri" w:eastAsia="Calibri" w:hAnsi="Calibri" w:cs="Arial"/>
      <w:b/>
      <w:bCs/>
      <w:sz w:val="28"/>
      <w:szCs w:val="2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1106DC"/>
    <w:rPr>
      <w:rFonts w:ascii="Verdana" w:hAnsi="Verdana"/>
      <w:sz w:val="19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106DC"/>
    <w:rPr>
      <w:rFonts w:ascii="Verdana" w:hAnsi="Verdana"/>
      <w:sz w:val="19"/>
      <w:szCs w:val="24"/>
    </w:rPr>
  </w:style>
  <w:style w:type="paragraph" w:styleId="Listeafsnit">
    <w:name w:val="List Paragraph"/>
    <w:basedOn w:val="Normal"/>
    <w:uiPriority w:val="34"/>
    <w:qFormat/>
    <w:rsid w:val="001106DC"/>
    <w:pPr>
      <w:spacing w:after="0" w:line="240" w:lineRule="auto"/>
      <w:ind w:left="720"/>
    </w:pPr>
    <w:rPr>
      <w:lang w:eastAsia="da-DK"/>
    </w:rPr>
  </w:style>
  <w:style w:type="character" w:styleId="Strk">
    <w:name w:val="Strong"/>
    <w:basedOn w:val="Standardskrifttypeiafsnit"/>
    <w:uiPriority w:val="22"/>
    <w:qFormat/>
    <w:rsid w:val="001106DC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B717B"/>
    <w:rPr>
      <w:rFonts w:ascii="Calibri" w:eastAsia="Calibri" w:hAnsi="Calibri" w:cs="Arial"/>
      <w:bCs/>
      <w:kern w:val="32"/>
      <w:sz w:val="44"/>
      <w:szCs w:val="32"/>
      <w:lang w:eastAsia="en-US"/>
    </w:rPr>
  </w:style>
  <w:style w:type="paragraph" w:styleId="Ingenafstand">
    <w:name w:val="No Spacing"/>
    <w:uiPriority w:val="1"/>
    <w:qFormat/>
    <w:rsid w:val="001106DC"/>
    <w:rPr>
      <w:rFonts w:ascii="Calibri" w:eastAsia="Calibri" w:hAnsi="Calibri"/>
      <w:sz w:val="22"/>
      <w:szCs w:val="22"/>
      <w:lang w:eastAsia="en-US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106DC"/>
    <w:pPr>
      <w:keepLines/>
      <w:spacing w:before="480" w:after="0"/>
      <w:outlineLvl w:val="9"/>
    </w:pPr>
    <w:rPr>
      <w:rFonts w:ascii="Cambria" w:hAnsi="Cambria" w:cs="Times New Roman"/>
      <w:b/>
      <w:color w:val="365F91"/>
      <w:kern w:val="0"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106DC"/>
  </w:style>
  <w:style w:type="paragraph" w:styleId="Indholdsfortegnelse2">
    <w:name w:val="toc 2"/>
    <w:basedOn w:val="Normal"/>
    <w:next w:val="Normal"/>
    <w:autoRedefine/>
    <w:uiPriority w:val="39"/>
    <w:unhideWhenUsed/>
    <w:rsid w:val="00FE7768"/>
    <w:pPr>
      <w:numPr>
        <w:numId w:val="29"/>
      </w:numPr>
      <w:tabs>
        <w:tab w:val="right" w:leader="dot" w:pos="9628"/>
      </w:tabs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106DC"/>
    <w:pPr>
      <w:ind w:left="440"/>
    </w:pPr>
  </w:style>
  <w:style w:type="paragraph" w:styleId="Dokumentoversigt">
    <w:name w:val="Document Map"/>
    <w:basedOn w:val="Normal"/>
    <w:link w:val="DokumentoversigtTegn"/>
    <w:uiPriority w:val="99"/>
    <w:unhideWhenUsed/>
    <w:rsid w:val="001106DC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1106DC"/>
    <w:rPr>
      <w:rFonts w:ascii="Tahoma" w:eastAsia="Calibri" w:hAnsi="Tahoma" w:cs="Tahoma"/>
      <w:sz w:val="16"/>
      <w:szCs w:val="16"/>
      <w:lang w:eastAsia="en-US"/>
    </w:rPr>
  </w:style>
  <w:style w:type="paragraph" w:styleId="Markeringsbobletekst">
    <w:name w:val="Balloon Text"/>
    <w:basedOn w:val="Normal"/>
    <w:link w:val="MarkeringsbobletekstTegn"/>
    <w:rsid w:val="0056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613C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dy@nyborg.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886F2.79FEA9D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ejledninger\Vejledning%20-%20skabelon_uden%20logo%20side%202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D8D6-FE2B-4003-BBB4-D1536478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Vejledning - skabelon_uden logo side 2</Template>
  <TotalTime>0</TotalTime>
  <Pages>10</Pages>
  <Words>1660</Words>
  <Characters>11390</Characters>
  <Application>Microsoft Office Word</Application>
  <DocSecurity>12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</vt:lpstr>
    </vt:vector>
  </TitlesOfParts>
  <Company>Næstved Kommune</Company>
  <LinksUpToDate>false</LinksUpToDate>
  <CharactersWithSpaces>13024</CharactersWithSpaces>
  <SharedDoc>false</SharedDoc>
  <HLinks>
    <vt:vector size="198" baseType="variant">
      <vt:variant>
        <vt:i4>2490473</vt:i4>
      </vt:variant>
      <vt:variant>
        <vt:i4>180</vt:i4>
      </vt:variant>
      <vt:variant>
        <vt:i4>0</vt:i4>
      </vt:variant>
      <vt:variant>
        <vt:i4>5</vt:i4>
      </vt:variant>
      <vt:variant>
        <vt:lpwstr>http://intranet/Intranet/Alle Ansatte/It/Anskaffelse af nyt IT-system.aspx</vt:lpwstr>
      </vt:variant>
      <vt:variant>
        <vt:lpwstr/>
      </vt:variant>
      <vt:variant>
        <vt:i4>2490473</vt:i4>
      </vt:variant>
      <vt:variant>
        <vt:i4>177</vt:i4>
      </vt:variant>
      <vt:variant>
        <vt:i4>0</vt:i4>
      </vt:variant>
      <vt:variant>
        <vt:i4>5</vt:i4>
      </vt:variant>
      <vt:variant>
        <vt:lpwstr>http://intranet/Intranet/Alle Ansatte/It/Anskaffelse af nyt IT-system.aspx</vt:lpwstr>
      </vt:variant>
      <vt:variant>
        <vt:lpwstr/>
      </vt:variant>
      <vt:variant>
        <vt:i4>2424890</vt:i4>
      </vt:variant>
      <vt:variant>
        <vt:i4>174</vt:i4>
      </vt:variant>
      <vt:variant>
        <vt:i4>0</vt:i4>
      </vt:variant>
      <vt:variant>
        <vt:i4>5</vt:i4>
      </vt:variant>
      <vt:variant>
        <vt:lpwstr>http://intranet/upload/it-systemer_060608_001.pdf</vt:lpwstr>
      </vt:variant>
      <vt:variant>
        <vt:lpwstr/>
      </vt:variant>
      <vt:variant>
        <vt:i4>2424890</vt:i4>
      </vt:variant>
      <vt:variant>
        <vt:i4>171</vt:i4>
      </vt:variant>
      <vt:variant>
        <vt:i4>0</vt:i4>
      </vt:variant>
      <vt:variant>
        <vt:i4>5</vt:i4>
      </vt:variant>
      <vt:variant>
        <vt:lpwstr>http://intranet/upload/it-systemer_060608_001.pdf</vt:lpwstr>
      </vt:variant>
      <vt:variant>
        <vt:lpwstr/>
      </vt:variant>
      <vt:variant>
        <vt:i4>2424890</vt:i4>
      </vt:variant>
      <vt:variant>
        <vt:i4>168</vt:i4>
      </vt:variant>
      <vt:variant>
        <vt:i4>0</vt:i4>
      </vt:variant>
      <vt:variant>
        <vt:i4>5</vt:i4>
      </vt:variant>
      <vt:variant>
        <vt:lpwstr>http://intranet/upload/it-systemer_060608_001.pdf</vt:lpwstr>
      </vt:variant>
      <vt:variant>
        <vt:lpwstr/>
      </vt:variant>
      <vt:variant>
        <vt:i4>2424890</vt:i4>
      </vt:variant>
      <vt:variant>
        <vt:i4>165</vt:i4>
      </vt:variant>
      <vt:variant>
        <vt:i4>0</vt:i4>
      </vt:variant>
      <vt:variant>
        <vt:i4>5</vt:i4>
      </vt:variant>
      <vt:variant>
        <vt:lpwstr>http://intranet/upload/it-systemer_060608_001.pdf</vt:lpwstr>
      </vt:variant>
      <vt:variant>
        <vt:lpwstr/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_Toc220465153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_Toc220465152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_Toc220465151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_Toc220465150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_Toc220465149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_Toc220465148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_Toc220465147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_Toc220465146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_Toc220465145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_Toc220465144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_Toc220465143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_Toc220465142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_Toc220465141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_Toc220465140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_Toc220465139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_Toc220465138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_Toc220465137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_Toc220465136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_Toc220465135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_Toc220465134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_Toc220465133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_Toc220465132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_Toc220465131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_Toc220465130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_Toc220465129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_Toc220465128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_Toc220465127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Birgitte Vincentzen</dc:creator>
  <cp:lastModifiedBy>Helle Sonne Hansen</cp:lastModifiedBy>
  <cp:revision>2</cp:revision>
  <cp:lastPrinted>2022-07-13T07:09:00Z</cp:lastPrinted>
  <dcterms:created xsi:type="dcterms:W3CDTF">2022-11-29T09:40:00Z</dcterms:created>
  <dcterms:modified xsi:type="dcterms:W3CDTF">2022-11-29T09:40:00Z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23000293022-167112622455337</vt:lpwstr>
  </property>
  <property fmtid="{D5CDD505-2E9C-101B-9397-08002B2CF9AE}" pid="3" name="DocumentNumber">
    <vt:lpwstr>D2022-148463</vt:lpwstr>
  </property>
  <property fmtid="{D5CDD505-2E9C-101B-9397-08002B2CF9AE}" pid="4" name="DocumentContentId">
    <vt:lpwstr>7713C45A2CD040B08549DD2F6A4AADD9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